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4814" w14:textId="5E7A6BEA" w:rsidR="00A256C4" w:rsidRPr="00334B31" w:rsidRDefault="00F56DD7" w:rsidP="00F56DD7">
      <w:pPr>
        <w:spacing w:line="400" w:lineRule="auto"/>
        <w:jc w:val="left"/>
        <w:rPr>
          <w:rFonts w:asciiTheme="minorEastAsia" w:eastAsiaTheme="minorEastAsia" w:hAnsiTheme="minorEastAsia" w:cs="ＭＳ 明朝"/>
          <w:b/>
          <w:sz w:val="32"/>
          <w:szCs w:val="32"/>
          <w:u w:val="single"/>
        </w:rPr>
      </w:pPr>
      <w:r w:rsidRPr="00334B31">
        <w:rPr>
          <w:rFonts w:asciiTheme="minorEastAsia" w:eastAsiaTheme="minorEastAsia" w:hAnsiTheme="minorEastAsia" w:cs="ＭＳ 明朝" w:hint="eastAsia"/>
          <w:b/>
          <w:noProof/>
          <w:sz w:val="32"/>
          <w:szCs w:val="32"/>
        </w:rPr>
        <w:drawing>
          <wp:inline distT="0" distB="0" distL="0" distR="0" wp14:anchorId="5CD388A6" wp14:editId="5894C5F0">
            <wp:extent cx="1435100" cy="425602"/>
            <wp:effectExtent l="0" t="0" r="0" b="0"/>
            <wp:docPr id="5" name="図 5" descr="テキスト, 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テキスト, ロゴ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230" cy="43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40F0D" w14:textId="77777777" w:rsidR="00027A11" w:rsidRPr="00334B31" w:rsidRDefault="00027A11" w:rsidP="00027A11">
      <w:pPr>
        <w:ind w:left="119" w:right="119"/>
        <w:jc w:val="left"/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>報道関係者各位</w:t>
      </w:r>
    </w:p>
    <w:p w14:paraId="12A250CC" w14:textId="77777777" w:rsidR="00027A11" w:rsidRPr="00334B31" w:rsidRDefault="00027A11" w:rsidP="00027A11">
      <w:pPr>
        <w:ind w:left="119" w:right="119"/>
        <w:jc w:val="left"/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>プレスリリース</w:t>
      </w:r>
    </w:p>
    <w:p w14:paraId="78026B3C" w14:textId="5F89B82B" w:rsidR="00027A11" w:rsidRPr="00334B31" w:rsidRDefault="00027A11" w:rsidP="00027A11">
      <w:pPr>
        <w:ind w:left="119" w:right="119"/>
        <w:jc w:val="right"/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>202</w:t>
      </w:r>
      <w:r w:rsidR="00DA7D1E" w:rsidRPr="00334B31">
        <w:rPr>
          <w:rFonts w:asciiTheme="minorEastAsia" w:eastAsiaTheme="minorEastAsia" w:hAnsiTheme="minorEastAsia" w:cs="ＭＳ 明朝" w:hint="eastAsia"/>
          <w:color w:val="000000"/>
        </w:rPr>
        <w:t>5</w:t>
      </w:r>
      <w:r w:rsidRPr="00334B31">
        <w:rPr>
          <w:rFonts w:asciiTheme="minorEastAsia" w:eastAsiaTheme="minorEastAsia" w:hAnsiTheme="minorEastAsia" w:cs="ＭＳ 明朝" w:hint="eastAsia"/>
          <w:color w:val="000000"/>
        </w:rPr>
        <w:t>年</w:t>
      </w:r>
      <w:r w:rsidR="008A70FD" w:rsidRPr="00334B31">
        <w:rPr>
          <w:rFonts w:asciiTheme="minorEastAsia" w:eastAsiaTheme="minorEastAsia" w:hAnsiTheme="minorEastAsia" w:cs="ＭＳ 明朝" w:hint="eastAsia"/>
          <w:color w:val="000000"/>
        </w:rPr>
        <w:t>10</w:t>
      </w:r>
      <w:r w:rsidRPr="00334B31">
        <w:rPr>
          <w:rFonts w:asciiTheme="minorEastAsia" w:eastAsiaTheme="minorEastAsia" w:hAnsiTheme="minorEastAsia" w:cs="ＭＳ 明朝" w:hint="eastAsia"/>
          <w:color w:val="000000"/>
        </w:rPr>
        <w:t>月</w:t>
      </w:r>
      <w:r w:rsidR="00334B31">
        <w:rPr>
          <w:rFonts w:asciiTheme="minorEastAsia" w:eastAsiaTheme="minorEastAsia" w:hAnsiTheme="minorEastAsia" w:cs="ＭＳ 明朝" w:hint="eastAsia"/>
          <w:color w:val="000000"/>
        </w:rPr>
        <w:t>28</w:t>
      </w:r>
      <w:r w:rsidRPr="00334B31">
        <w:rPr>
          <w:rFonts w:asciiTheme="minorEastAsia" w:eastAsiaTheme="minorEastAsia" w:hAnsiTheme="minorEastAsia" w:cs="ＭＳ 明朝" w:hint="eastAsia"/>
          <w:color w:val="000000"/>
        </w:rPr>
        <w:t>日</w:t>
      </w:r>
    </w:p>
    <w:p w14:paraId="0FD8E7CB" w14:textId="77777777" w:rsidR="00027A11" w:rsidRPr="00334B31" w:rsidRDefault="00027A11" w:rsidP="00027A11">
      <w:pPr>
        <w:jc w:val="right"/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ab/>
        <w:t>ニュートン・コンサルティング株式会社</w:t>
      </w:r>
    </w:p>
    <w:p w14:paraId="4D659724" w14:textId="77777777" w:rsidR="00027A11" w:rsidRPr="00334B31" w:rsidRDefault="00027A11" w:rsidP="00F56DD7">
      <w:pPr>
        <w:spacing w:line="400" w:lineRule="auto"/>
        <w:jc w:val="left"/>
        <w:rPr>
          <w:rFonts w:asciiTheme="minorEastAsia" w:eastAsiaTheme="minorEastAsia" w:hAnsiTheme="minorEastAsia" w:cs="ＭＳ 明朝"/>
          <w:b/>
          <w:sz w:val="32"/>
          <w:szCs w:val="32"/>
          <w:u w:val="single"/>
        </w:rPr>
      </w:pPr>
    </w:p>
    <w:p w14:paraId="1F12A9BF" w14:textId="704479D3" w:rsidR="00DE6B38" w:rsidRPr="00334B31" w:rsidRDefault="00334B31" w:rsidP="000B249A">
      <w:pPr>
        <w:ind w:left="119" w:right="119"/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>
        <w:rPr>
          <w:rFonts w:asciiTheme="minorEastAsia" w:eastAsiaTheme="minorEastAsia" w:hAnsiTheme="minorEastAsia" w:cs="ＭＳ 明朝" w:hint="eastAsia"/>
          <w:b/>
          <w:sz w:val="28"/>
          <w:szCs w:val="28"/>
        </w:rPr>
        <w:t>サステナビリティ・ERM統合支援</w:t>
      </w:r>
      <w:r w:rsidR="00183847" w:rsidRPr="00334B31">
        <w:rPr>
          <w:rFonts w:asciiTheme="minorEastAsia" w:eastAsiaTheme="minorEastAsia" w:hAnsiTheme="minorEastAsia" w:cs="ＭＳ 明朝" w:hint="eastAsia"/>
          <w:b/>
          <w:sz w:val="28"/>
          <w:szCs w:val="28"/>
        </w:rPr>
        <w:t>サービス</w:t>
      </w:r>
      <w:r w:rsidR="00C41689" w:rsidRPr="00334B31">
        <w:rPr>
          <w:rFonts w:asciiTheme="minorEastAsia" w:eastAsiaTheme="minorEastAsia" w:hAnsiTheme="minorEastAsia" w:cs="ＭＳ 明朝" w:hint="eastAsia"/>
          <w:b/>
          <w:sz w:val="28"/>
          <w:szCs w:val="28"/>
        </w:rPr>
        <w:t>を提供開始</w:t>
      </w:r>
    </w:p>
    <w:p w14:paraId="02619078" w14:textId="0BD307CA" w:rsidR="00A256C4" w:rsidRPr="00334B31" w:rsidRDefault="00334B31" w:rsidP="009E36F0">
      <w:pPr>
        <w:ind w:left="119" w:right="119"/>
        <w:jc w:val="center"/>
        <w:rPr>
          <w:rFonts w:asciiTheme="minorEastAsia" w:eastAsiaTheme="minorEastAsia" w:hAnsiTheme="minorEastAsia" w:cs="ＭＳ 明朝"/>
          <w:b/>
          <w:sz w:val="24"/>
        </w:rPr>
      </w:pPr>
      <w:r w:rsidRPr="00334B31">
        <w:rPr>
          <w:rFonts w:asciiTheme="minorEastAsia" w:eastAsiaTheme="minorEastAsia" w:hAnsiTheme="minorEastAsia" w:cs="ＭＳ 明朝" w:hint="eastAsia"/>
          <w:b/>
          <w:sz w:val="24"/>
        </w:rPr>
        <w:t>～サイロ化した管理体制を脱却し、「価値創造」に繋げる次世代リスクマネジメントへ</w:t>
      </w:r>
      <w:r w:rsidR="00257C33" w:rsidRPr="00334B31">
        <w:rPr>
          <w:rFonts w:asciiTheme="minorEastAsia" w:eastAsiaTheme="minorEastAsia" w:hAnsiTheme="minorEastAsia" w:cs="ＭＳ 明朝" w:hint="eastAsia"/>
          <w:b/>
          <w:sz w:val="24"/>
        </w:rPr>
        <w:t>～</w:t>
      </w:r>
    </w:p>
    <w:p w14:paraId="6FF1A383" w14:textId="77777777" w:rsidR="004356C2" w:rsidRPr="00334B31" w:rsidRDefault="004356C2">
      <w:pPr>
        <w:ind w:left="119" w:right="119"/>
        <w:jc w:val="right"/>
        <w:rPr>
          <w:rFonts w:asciiTheme="minorEastAsia" w:eastAsiaTheme="minorEastAsia" w:hAnsiTheme="minorEastAsia" w:cs="ＭＳ 明朝"/>
          <w:color w:val="000000"/>
        </w:rPr>
      </w:pPr>
    </w:p>
    <w:p w14:paraId="7955A0E9" w14:textId="77777777" w:rsidR="004356C2" w:rsidRPr="00334B31" w:rsidRDefault="004356C2">
      <w:pPr>
        <w:rPr>
          <w:rFonts w:asciiTheme="minorEastAsia" w:eastAsiaTheme="minorEastAsia" w:hAnsiTheme="minorEastAsia" w:cs="ＭＳ 明朝"/>
          <w:color w:val="000000"/>
        </w:rPr>
      </w:pPr>
    </w:p>
    <w:p w14:paraId="5696B913" w14:textId="6E013838" w:rsidR="00A256C4" w:rsidRPr="00334B31" w:rsidRDefault="00751ADA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>リスクマネジメントコンサルティングを手掛けるニュートン・コンサルティング株式会社（本社：東京都千代田区、代表取締役社長：副島</w:t>
      </w:r>
      <w:r w:rsidRPr="00334B31">
        <w:rPr>
          <w:rFonts w:asciiTheme="minorEastAsia" w:eastAsiaTheme="minorEastAsia" w:hAnsiTheme="minorEastAsia" w:cs="ＭＳ 明朝" w:hint="eastAsia"/>
        </w:rPr>
        <w:t xml:space="preserve">　</w:t>
      </w:r>
      <w:r w:rsidRPr="00334B31">
        <w:rPr>
          <w:rFonts w:asciiTheme="minorEastAsia" w:eastAsiaTheme="minorEastAsia" w:hAnsiTheme="minorEastAsia" w:cs="ＭＳ 明朝" w:hint="eastAsia"/>
          <w:color w:val="000000"/>
        </w:rPr>
        <w:t>一也）は</w:t>
      </w:r>
      <w:r w:rsidR="00FB0C55" w:rsidRPr="00334B31">
        <w:rPr>
          <w:rFonts w:asciiTheme="minorEastAsia" w:eastAsiaTheme="minorEastAsia" w:hAnsiTheme="minorEastAsia" w:cs="ＭＳ 明朝" w:hint="eastAsia"/>
          <w:color w:val="000000"/>
        </w:rPr>
        <w:t>、</w:t>
      </w:r>
      <w:r w:rsidRPr="00334B31">
        <w:rPr>
          <w:rFonts w:asciiTheme="minorEastAsia" w:eastAsiaTheme="minorEastAsia" w:hAnsiTheme="minorEastAsia" w:cs="ＭＳ 明朝" w:hint="eastAsia"/>
          <w:color w:val="000000"/>
        </w:rPr>
        <w:t>20</w:t>
      </w:r>
      <w:r w:rsidR="00DA7D1E" w:rsidRPr="00334B31">
        <w:rPr>
          <w:rFonts w:asciiTheme="minorEastAsia" w:eastAsiaTheme="minorEastAsia" w:hAnsiTheme="minorEastAsia" w:cs="ＭＳ 明朝" w:hint="eastAsia"/>
          <w:color w:val="000000"/>
        </w:rPr>
        <w:t>25</w:t>
      </w:r>
      <w:r w:rsidRPr="00334B31">
        <w:rPr>
          <w:rFonts w:asciiTheme="minorEastAsia" w:eastAsiaTheme="minorEastAsia" w:hAnsiTheme="minorEastAsia" w:cs="ＭＳ 明朝" w:hint="eastAsia"/>
          <w:color w:val="000000"/>
        </w:rPr>
        <w:t>年</w:t>
      </w:r>
      <w:r w:rsidR="008A70FD" w:rsidRPr="00334B31">
        <w:rPr>
          <w:rFonts w:asciiTheme="minorEastAsia" w:eastAsiaTheme="minorEastAsia" w:hAnsiTheme="minorEastAsia" w:cs="ＭＳ 明朝" w:hint="eastAsia"/>
          <w:color w:val="000000"/>
        </w:rPr>
        <w:t>10</w:t>
      </w:r>
      <w:r w:rsidR="00075DA7" w:rsidRPr="00334B31">
        <w:rPr>
          <w:rFonts w:asciiTheme="minorEastAsia" w:eastAsiaTheme="minorEastAsia" w:hAnsiTheme="minorEastAsia" w:cs="ＭＳ 明朝" w:hint="eastAsia"/>
          <w:color w:val="000000"/>
        </w:rPr>
        <w:t>月</w:t>
      </w:r>
      <w:r w:rsidR="00334B31">
        <w:rPr>
          <w:rFonts w:asciiTheme="minorEastAsia" w:eastAsiaTheme="minorEastAsia" w:hAnsiTheme="minorEastAsia" w:cs="ＭＳ 明朝" w:hint="eastAsia"/>
          <w:color w:val="000000"/>
        </w:rPr>
        <w:t>28</w:t>
      </w:r>
      <w:r w:rsidR="00075DA7" w:rsidRPr="00334B31">
        <w:rPr>
          <w:rFonts w:asciiTheme="minorEastAsia" w:eastAsiaTheme="minorEastAsia" w:hAnsiTheme="minorEastAsia" w:cs="ＭＳ 明朝" w:hint="eastAsia"/>
          <w:color w:val="000000"/>
        </w:rPr>
        <w:t>日</w:t>
      </w:r>
      <w:r w:rsidRPr="00334B31">
        <w:rPr>
          <w:rFonts w:asciiTheme="minorEastAsia" w:eastAsiaTheme="minorEastAsia" w:hAnsiTheme="minorEastAsia" w:cs="ＭＳ 明朝" w:hint="eastAsia"/>
          <w:color w:val="000000"/>
        </w:rPr>
        <w:t>より</w:t>
      </w:r>
      <w:r w:rsidR="00183847" w:rsidRPr="00334B31">
        <w:rPr>
          <w:rFonts w:asciiTheme="minorEastAsia" w:eastAsiaTheme="minorEastAsia" w:hAnsiTheme="minorEastAsia" w:cs="ＭＳ 明朝" w:hint="eastAsia"/>
          <w:color w:val="000000"/>
        </w:rPr>
        <w:t>「</w:t>
      </w:r>
      <w:r w:rsidR="00334B31">
        <w:rPr>
          <w:rFonts w:asciiTheme="minorEastAsia" w:eastAsiaTheme="minorEastAsia" w:hAnsiTheme="minorEastAsia" w:cs="ＭＳ 明朝" w:hint="eastAsia"/>
          <w:color w:val="000000"/>
        </w:rPr>
        <w:t>サステナビリティ・ERM統合支援サービス</w:t>
      </w:r>
      <w:r w:rsidR="00B42412" w:rsidRPr="00334B31">
        <w:rPr>
          <w:rFonts w:asciiTheme="minorEastAsia" w:eastAsiaTheme="minorEastAsia" w:hAnsiTheme="minorEastAsia" w:cs="ＭＳ 明朝" w:hint="eastAsia"/>
          <w:color w:val="000000"/>
        </w:rPr>
        <w:t>」を提供開始</w:t>
      </w:r>
      <w:r w:rsidRPr="00334B31">
        <w:rPr>
          <w:rFonts w:asciiTheme="minorEastAsia" w:eastAsiaTheme="minorEastAsia" w:hAnsiTheme="minorEastAsia" w:cs="ＭＳ 明朝" w:hint="eastAsia"/>
          <w:color w:val="000000"/>
        </w:rPr>
        <w:t>します。</w:t>
      </w:r>
    </w:p>
    <w:p w14:paraId="094CDB5C" w14:textId="7EB6A877" w:rsidR="00D84D17" w:rsidRDefault="00D84D17">
      <w:pPr>
        <w:rPr>
          <w:rFonts w:asciiTheme="minorEastAsia" w:eastAsiaTheme="minorEastAsia" w:hAnsiTheme="minorEastAsia"/>
          <w:color w:val="FF0000"/>
        </w:rPr>
      </w:pPr>
    </w:p>
    <w:p w14:paraId="07B85305" w14:textId="45559054" w:rsidR="00A1697E" w:rsidRPr="00A1697E" w:rsidRDefault="00A1697E">
      <w:pPr>
        <w:rPr>
          <w:rFonts w:asciiTheme="minorEastAsia" w:eastAsiaTheme="minorEastAsia" w:hAnsiTheme="minorEastAsia"/>
        </w:rPr>
      </w:pPr>
      <w:hyperlink r:id="rId9" w:history="1">
        <w:r w:rsidRPr="00EB53CE">
          <w:rPr>
            <w:rStyle w:val="a5"/>
            <w:rFonts w:asciiTheme="minorEastAsia" w:eastAsiaTheme="minorEastAsia" w:hAnsiTheme="minorEastAsia"/>
          </w:rPr>
          <w:t>https://www.newton-consulting.co.jp/solution/erm/sustainability_integration.html</w:t>
        </w:r>
      </w:hyperlink>
    </w:p>
    <w:p w14:paraId="66AD3BC4" w14:textId="7E8EB21D" w:rsidR="00E27458" w:rsidRPr="00334B31" w:rsidRDefault="009E36F0">
      <w:pPr>
        <w:rPr>
          <w:rFonts w:asciiTheme="minorEastAsia" w:eastAsiaTheme="minorEastAsia" w:hAnsiTheme="minorEastAsia"/>
        </w:rPr>
      </w:pPr>
      <w:r w:rsidRPr="00334B31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8240" behindDoc="0" locked="0" layoutInCell="1" allowOverlap="1" wp14:anchorId="11065593" wp14:editId="3A9AD1DE">
            <wp:simplePos x="0" y="0"/>
            <wp:positionH relativeFrom="column">
              <wp:posOffset>659765</wp:posOffset>
            </wp:positionH>
            <wp:positionV relativeFrom="paragraph">
              <wp:posOffset>241300</wp:posOffset>
            </wp:positionV>
            <wp:extent cx="4084320" cy="2722880"/>
            <wp:effectExtent l="0" t="0" r="0" b="1270"/>
            <wp:wrapTopAndBottom/>
            <wp:docPr id="8291757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75796" name="図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2722880"/>
                    </a:xfrm>
                    <a:prstGeom prst="rect">
                      <a:avLst/>
                    </a:prstGeom>
                    <a:solidFill>
                      <a:srgbClr val="EE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1ACB3" w14:textId="7BAC5B0A" w:rsidR="00624E16" w:rsidRPr="00334B31" w:rsidRDefault="007136F6" w:rsidP="007136F6">
      <w:pPr>
        <w:jc w:val="center"/>
        <w:rPr>
          <w:rFonts w:asciiTheme="minorEastAsia" w:eastAsiaTheme="minorEastAsia" w:hAnsiTheme="minorEastAsia"/>
        </w:rPr>
      </w:pPr>
      <w:r w:rsidRPr="007136F6">
        <w:rPr>
          <w:rFonts w:asciiTheme="minorEastAsia" w:eastAsiaTheme="minorEastAsia" w:hAnsiTheme="minorEastAsia" w:hint="eastAsia"/>
        </w:rPr>
        <w:t>サステナビリティとERMの融合で、“守り”と“攻め”を両立する経営基盤を構築</w:t>
      </w:r>
    </w:p>
    <w:p w14:paraId="63F14874" w14:textId="77777777" w:rsidR="00A256C4" w:rsidRDefault="00A256C4">
      <w:pPr>
        <w:rPr>
          <w:rFonts w:asciiTheme="minorEastAsia" w:eastAsiaTheme="minorEastAsia" w:hAnsiTheme="minorEastAsia"/>
        </w:rPr>
      </w:pPr>
    </w:p>
    <w:p w14:paraId="1F398F8E" w14:textId="77777777" w:rsidR="00A1697E" w:rsidRPr="00334B31" w:rsidRDefault="00A1697E">
      <w:pPr>
        <w:rPr>
          <w:rFonts w:asciiTheme="minorEastAsia" w:eastAsiaTheme="minorEastAsia" w:hAnsiTheme="minorEastAsia"/>
        </w:rPr>
      </w:pPr>
    </w:p>
    <w:p w14:paraId="3A7577B9" w14:textId="06534167" w:rsidR="00A256C4" w:rsidRPr="00334B31" w:rsidRDefault="00B424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38"/>
        <w:rPr>
          <w:rFonts w:asciiTheme="minorEastAsia" w:eastAsiaTheme="minorEastAsia" w:hAnsiTheme="minorEastAsia" w:cs="ＭＳ 明朝"/>
          <w:b/>
          <w:color w:val="000000"/>
          <w:sz w:val="28"/>
          <w:szCs w:val="28"/>
        </w:rPr>
      </w:pPr>
      <w:r w:rsidRPr="00334B31">
        <w:rPr>
          <w:rFonts w:asciiTheme="minorEastAsia" w:eastAsiaTheme="minorEastAsia" w:hAnsiTheme="minorEastAsia" w:cs="ＭＳ 明朝" w:hint="eastAsia"/>
          <w:b/>
          <w:color w:val="000000"/>
          <w:sz w:val="28"/>
          <w:szCs w:val="28"/>
        </w:rPr>
        <w:lastRenderedPageBreak/>
        <w:t>サービスリリースの背景</w:t>
      </w:r>
    </w:p>
    <w:p w14:paraId="55F947CA" w14:textId="352EB626" w:rsidR="008C223B" w:rsidRDefault="00334B31" w:rsidP="008C223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color w:val="000000"/>
        </w:rPr>
      </w:pPr>
      <w:r>
        <w:rPr>
          <w:rFonts w:asciiTheme="minorEastAsia" w:eastAsiaTheme="minorEastAsia" w:hAnsiTheme="minorEastAsia" w:cs="ＭＳ 明朝" w:hint="eastAsia"/>
          <w:color w:val="000000"/>
        </w:rPr>
        <w:t>ISSB/SSBJ基準の導入により、サステナビリティは「CSR活動」から「企業価値を左右する経営マター」へと完全に移行しました。サステナビリティの要素をERM（全社的リスク管理）に統合することは、単なる管理プロセスの連携ではなく、「リスク」と「機会」を一体的に捉え、経営資源を最適配分するための仕組みづくりです。</w:t>
      </w:r>
    </w:p>
    <w:p w14:paraId="38CE5947" w14:textId="77777777" w:rsidR="00334B31" w:rsidRDefault="00334B31" w:rsidP="008C223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color w:val="000000"/>
        </w:rPr>
      </w:pPr>
    </w:p>
    <w:p w14:paraId="42033578" w14:textId="1245E0F5" w:rsidR="00334B31" w:rsidRDefault="00334B31" w:rsidP="008C223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color w:val="000000"/>
        </w:rPr>
      </w:pPr>
      <w:r>
        <w:rPr>
          <w:rFonts w:asciiTheme="minorEastAsia" w:eastAsiaTheme="minorEastAsia" w:hAnsiTheme="minorEastAsia" w:cs="ＭＳ 明朝" w:hint="eastAsia"/>
          <w:color w:val="000000"/>
        </w:rPr>
        <w:t>しかし、多くの企業では、サステナビリティ部門が掲げる重要課題（マテリアリティ）と、リスク管理部門が運用するERMの枠組みが分断され、実効性のある打ち手に繋がっていないのが実情です。</w:t>
      </w:r>
    </w:p>
    <w:p w14:paraId="6098A787" w14:textId="77777777" w:rsidR="00334B31" w:rsidRDefault="00334B31" w:rsidP="008C223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color w:val="000000"/>
        </w:rPr>
      </w:pPr>
    </w:p>
    <w:p w14:paraId="1D054D7D" w14:textId="76C0493B" w:rsidR="00334B31" w:rsidRDefault="00334B31" w:rsidP="008C223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color w:val="000000"/>
        </w:rPr>
      </w:pPr>
      <w:r>
        <w:rPr>
          <w:rFonts w:asciiTheme="minorEastAsia" w:eastAsiaTheme="minorEastAsia" w:hAnsiTheme="minorEastAsia" w:cs="ＭＳ 明朝" w:hint="eastAsia"/>
          <w:color w:val="000000"/>
        </w:rPr>
        <w:t>当社は、ERM構築における豊富な実績と知見をもとに、この分断を解消し、サステナビリティとERMを真に統合した戦略的な経営管理基盤の構築を支援します。</w:t>
      </w:r>
    </w:p>
    <w:p w14:paraId="57B1E3FF" w14:textId="77777777" w:rsidR="00334B31" w:rsidRPr="00334B31" w:rsidRDefault="00334B31" w:rsidP="008C223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color w:val="000000"/>
        </w:rPr>
      </w:pPr>
    </w:p>
    <w:p w14:paraId="723BBA9D" w14:textId="66A3B876" w:rsidR="00E46F33" w:rsidRPr="005001FA" w:rsidRDefault="00B42412" w:rsidP="00E274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b/>
          <w:color w:val="000000"/>
          <w:sz w:val="28"/>
          <w:szCs w:val="28"/>
        </w:rPr>
      </w:pPr>
      <w:r w:rsidRPr="00334B31">
        <w:rPr>
          <w:rFonts w:asciiTheme="minorEastAsia" w:eastAsiaTheme="minorEastAsia" w:hAnsiTheme="minorEastAsia" w:cs="ＭＳ 明朝" w:hint="eastAsia"/>
          <w:b/>
          <w:color w:val="000000"/>
          <w:sz w:val="28"/>
          <w:szCs w:val="28"/>
        </w:rPr>
        <w:t>サービス</w:t>
      </w:r>
      <w:r w:rsidR="00751ADA" w:rsidRPr="00334B31">
        <w:rPr>
          <w:rFonts w:asciiTheme="minorEastAsia" w:eastAsiaTheme="minorEastAsia" w:hAnsiTheme="minorEastAsia" w:cs="ＭＳ 明朝" w:hint="eastAsia"/>
          <w:b/>
          <w:color w:val="000000"/>
          <w:sz w:val="28"/>
          <w:szCs w:val="28"/>
        </w:rPr>
        <w:t>概要</w:t>
      </w:r>
    </w:p>
    <w:p w14:paraId="330851B8" w14:textId="44D9CA89" w:rsidR="00E27458" w:rsidRPr="00334B31" w:rsidRDefault="005022A2" w:rsidP="00E27458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bCs/>
          <w:color w:val="000000"/>
          <w:szCs w:val="21"/>
        </w:rPr>
      </w:pPr>
      <w:r w:rsidRPr="00334B31">
        <w:rPr>
          <w:rFonts w:asciiTheme="minorEastAsia" w:eastAsiaTheme="minorEastAsia" w:hAnsiTheme="minorEastAsia" w:cs="ＭＳ 明朝" w:hint="eastAsia"/>
          <w:bCs/>
          <w:color w:val="000000"/>
          <w:szCs w:val="21"/>
        </w:rPr>
        <w:t>【サービスの特長】</w:t>
      </w:r>
    </w:p>
    <w:p w14:paraId="4F2D3501" w14:textId="32C10A46" w:rsidR="00143497" w:rsidRPr="00334B31" w:rsidRDefault="00143497" w:rsidP="00143497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b/>
          <w:color w:val="000000"/>
          <w:szCs w:val="21"/>
        </w:rPr>
      </w:pPr>
      <w:r w:rsidRPr="00334B31">
        <w:rPr>
          <w:rFonts w:asciiTheme="minorEastAsia" w:eastAsiaTheme="minorEastAsia" w:hAnsiTheme="minorEastAsia" w:cs="ＭＳ 明朝" w:hint="eastAsia"/>
          <w:b/>
          <w:color w:val="000000"/>
          <w:szCs w:val="21"/>
        </w:rPr>
        <w:t xml:space="preserve">1. </w:t>
      </w:r>
      <w:r w:rsidR="009F0C5B">
        <w:rPr>
          <w:rFonts w:asciiTheme="minorEastAsia" w:eastAsiaTheme="minorEastAsia" w:hAnsiTheme="minorEastAsia" w:cs="ＭＳ 明朝" w:hint="eastAsia"/>
          <w:b/>
          <w:color w:val="000000"/>
          <w:szCs w:val="21"/>
        </w:rPr>
        <w:t>E</w:t>
      </w:r>
      <w:r w:rsidR="00334B31" w:rsidRPr="00334B31">
        <w:rPr>
          <w:rFonts w:asciiTheme="minorEastAsia" w:eastAsiaTheme="minorEastAsia" w:hAnsiTheme="minorEastAsia" w:cs="ＭＳ 明朝" w:hint="eastAsia"/>
          <w:b/>
          <w:color w:val="000000"/>
          <w:szCs w:val="21"/>
        </w:rPr>
        <w:t>RMを起点とした現実的な統合アプローチ</w:t>
      </w:r>
    </w:p>
    <w:p w14:paraId="696B0BF3" w14:textId="15E52801" w:rsidR="000F6234" w:rsidRPr="00334B31" w:rsidRDefault="00FB7D11" w:rsidP="00143497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bCs/>
          <w:color w:val="000000"/>
          <w:szCs w:val="21"/>
        </w:rPr>
      </w:pPr>
      <w:r w:rsidRPr="00FB7D11">
        <w:rPr>
          <w:rFonts w:asciiTheme="minorEastAsia" w:eastAsiaTheme="minorEastAsia" w:hAnsiTheme="minorEastAsia" w:cs="ＭＳ 明朝" w:hint="eastAsia"/>
          <w:bCs/>
          <w:color w:val="000000"/>
          <w:szCs w:val="21"/>
        </w:rPr>
        <w:t>貴社が既に持つERMの仕組みや規程、ツールを「土台」として活用します。既存の資産を活かしながら、サステナビリティの要素を段階的に組み込むことで、現場の混乱を最小限に抑え、現実的かつスムーズな統合を実現します。</w:t>
      </w:r>
    </w:p>
    <w:p w14:paraId="5D33FDD3" w14:textId="77777777" w:rsidR="008C223B" w:rsidRPr="00334B31" w:rsidRDefault="008C223B" w:rsidP="00143497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bCs/>
          <w:color w:val="000000"/>
          <w:szCs w:val="21"/>
        </w:rPr>
      </w:pPr>
    </w:p>
    <w:p w14:paraId="3506EC55" w14:textId="61FA2EA7" w:rsidR="00143497" w:rsidRPr="00334B31" w:rsidRDefault="00143497" w:rsidP="00143497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b/>
          <w:color w:val="000000"/>
          <w:szCs w:val="21"/>
        </w:rPr>
      </w:pPr>
      <w:r w:rsidRPr="00334B31">
        <w:rPr>
          <w:rFonts w:asciiTheme="minorEastAsia" w:eastAsiaTheme="minorEastAsia" w:hAnsiTheme="minorEastAsia" w:cs="ＭＳ 明朝" w:hint="eastAsia"/>
          <w:b/>
          <w:color w:val="000000"/>
          <w:szCs w:val="21"/>
        </w:rPr>
        <w:t>2.</w:t>
      </w:r>
      <w:r w:rsidR="009F0C5B">
        <w:rPr>
          <w:rFonts w:asciiTheme="minorEastAsia" w:eastAsiaTheme="minorEastAsia" w:hAnsiTheme="minorEastAsia" w:cs="ＭＳ 明朝" w:hint="eastAsia"/>
          <w:b/>
          <w:color w:val="000000"/>
          <w:szCs w:val="21"/>
        </w:rPr>
        <w:t>「橋渡し役」としての役割と組織定着へのコミットメント</w:t>
      </w:r>
    </w:p>
    <w:p w14:paraId="0BCFE7A3" w14:textId="799116FB" w:rsidR="006030FE" w:rsidRPr="00334B31" w:rsidRDefault="009F0C5B" w:rsidP="00143497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bCs/>
          <w:color w:val="000000"/>
          <w:szCs w:val="21"/>
        </w:rPr>
      </w:pPr>
      <w:r>
        <w:rPr>
          <w:rFonts w:asciiTheme="minorEastAsia" w:eastAsiaTheme="minorEastAsia" w:hAnsiTheme="minorEastAsia" w:cs="ＭＳ 明朝" w:hint="eastAsia"/>
          <w:bCs/>
          <w:color w:val="000000"/>
          <w:szCs w:val="21"/>
        </w:rPr>
        <w:t>サステナビリティ（定性的・長期的視点）とERM（定量的・中短期的視点）の「考え方」や「文化」の違いを繋ぐ橋渡し役として機能します。両部門の協働を促すワークショップや研修を通じて、新しいプロセスが組織に根付くまでハンズオンで支援します。</w:t>
      </w:r>
    </w:p>
    <w:p w14:paraId="16E54563" w14:textId="77777777" w:rsidR="000F6234" w:rsidRPr="00334B31" w:rsidRDefault="000F6234" w:rsidP="00143497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bCs/>
          <w:color w:val="000000"/>
          <w:szCs w:val="21"/>
        </w:rPr>
      </w:pPr>
    </w:p>
    <w:p w14:paraId="65A54F1F" w14:textId="2C4FE6F2" w:rsidR="00143497" w:rsidRPr="00334B31" w:rsidRDefault="00143497" w:rsidP="00143497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b/>
          <w:color w:val="000000"/>
          <w:szCs w:val="21"/>
        </w:rPr>
      </w:pPr>
      <w:r w:rsidRPr="00334B31">
        <w:rPr>
          <w:rFonts w:asciiTheme="minorEastAsia" w:eastAsiaTheme="minorEastAsia" w:hAnsiTheme="minorEastAsia" w:cs="ＭＳ 明朝" w:hint="eastAsia"/>
          <w:b/>
          <w:color w:val="000000"/>
          <w:szCs w:val="21"/>
        </w:rPr>
        <w:t xml:space="preserve">3. </w:t>
      </w:r>
      <w:r w:rsidR="009F0C5B" w:rsidRPr="009F0C5B">
        <w:rPr>
          <w:rFonts w:asciiTheme="minorEastAsia" w:eastAsiaTheme="minorEastAsia" w:hAnsiTheme="minorEastAsia" w:cs="ＭＳ 明朝" w:hint="eastAsia"/>
          <w:b/>
          <w:color w:val="000000"/>
          <w:szCs w:val="21"/>
        </w:rPr>
        <w:t>「守り」から「攻め（機会創出）」への展開支援</w:t>
      </w:r>
    </w:p>
    <w:p w14:paraId="4028089D" w14:textId="28AEC364" w:rsidR="00143497" w:rsidRPr="00334B31" w:rsidRDefault="009F0C5B" w:rsidP="009F0C5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bCs/>
          <w:color w:val="000000"/>
          <w:szCs w:val="21"/>
        </w:rPr>
      </w:pPr>
      <w:r>
        <w:rPr>
          <w:rFonts w:asciiTheme="minorEastAsia" w:eastAsiaTheme="minorEastAsia" w:hAnsiTheme="minorEastAsia" w:cs="ＭＳ 明朝" w:hint="eastAsia"/>
          <w:bCs/>
          <w:color w:val="000000"/>
          <w:szCs w:val="21"/>
        </w:rPr>
        <w:t>統合の目的はリスク管理の強化にとどまりません。統合されたフレームワークを用いて、気候変動適応ビジネスやサーキュラーエコノミー（循環経済）などの「サステナビリティ機会」を特定・評価し、事業戦略や中期経営計画に反映させる「攻め」の活用までを見据えた支援を提供します。</w:t>
      </w:r>
    </w:p>
    <w:p w14:paraId="71E194CC" w14:textId="77777777" w:rsidR="00143497" w:rsidRPr="00334B31" w:rsidRDefault="00143497">
      <w:pPr>
        <w:rPr>
          <w:rFonts w:asciiTheme="minorEastAsia" w:eastAsiaTheme="minorEastAsia" w:hAnsiTheme="minorEastAsia" w:cs="ＭＳ 明朝"/>
          <w:b/>
          <w:color w:val="000000"/>
          <w:szCs w:val="21"/>
        </w:rPr>
      </w:pPr>
    </w:p>
    <w:p w14:paraId="59FD9820" w14:textId="3E0C1DD7" w:rsidR="004C1EDF" w:rsidRPr="00334B31" w:rsidRDefault="008B2A34">
      <w:pPr>
        <w:rPr>
          <w:rFonts w:asciiTheme="minorEastAsia" w:eastAsiaTheme="minorEastAsia" w:hAnsiTheme="minorEastAsia" w:cs="ＭＳ 明朝"/>
          <w:b/>
          <w:bCs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【</w:t>
      </w:r>
      <w:r w:rsidR="00E27458"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支援範囲とステップ</w:t>
      </w:r>
      <w:r w:rsidR="00E44919"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（例）</w:t>
      </w:r>
      <w:r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】</w:t>
      </w:r>
    </w:p>
    <w:p w14:paraId="0BBA2C26" w14:textId="734B563C" w:rsidR="008C6755" w:rsidRPr="00334B31" w:rsidRDefault="008C6755" w:rsidP="008C6755">
      <w:pPr>
        <w:rPr>
          <w:rFonts w:asciiTheme="minorEastAsia" w:eastAsiaTheme="minorEastAsia" w:hAnsiTheme="minorEastAsia"/>
        </w:rPr>
      </w:pPr>
      <w:commentRangeStart w:id="0"/>
      <w:commentRangeStart w:id="1"/>
      <w:r w:rsidRPr="00334B31">
        <w:rPr>
          <w:rFonts w:asciiTheme="minorEastAsia" w:eastAsiaTheme="minorEastAsia" w:hAnsiTheme="minorEastAsia" w:hint="eastAsia"/>
        </w:rPr>
        <w:t>下図</w:t>
      </w:r>
      <w:commentRangeEnd w:id="0"/>
      <w:r w:rsidR="000F6234" w:rsidRPr="00334B31">
        <w:rPr>
          <w:rStyle w:val="ab"/>
          <w:rFonts w:asciiTheme="minorEastAsia" w:eastAsiaTheme="minorEastAsia" w:hAnsiTheme="minorEastAsia"/>
        </w:rPr>
        <w:commentReference w:id="0"/>
      </w:r>
      <w:commentRangeEnd w:id="1"/>
      <w:r w:rsidR="0019447D" w:rsidRPr="00334B31">
        <w:rPr>
          <w:rStyle w:val="ab"/>
          <w:rFonts w:asciiTheme="minorEastAsia" w:eastAsiaTheme="minorEastAsia" w:hAnsiTheme="minorEastAsia"/>
        </w:rPr>
        <w:commentReference w:id="1"/>
      </w:r>
      <w:r w:rsidRPr="00334B31">
        <w:rPr>
          <w:rFonts w:asciiTheme="minorEastAsia" w:eastAsiaTheme="minorEastAsia" w:hAnsiTheme="minorEastAsia" w:hint="eastAsia"/>
        </w:rPr>
        <w:t>は本サービスの一般的な流れです。 ご要望によって支援範囲のカスタマイズも承ります。</w:t>
      </w:r>
    </w:p>
    <w:p w14:paraId="6FB30DCB" w14:textId="5F32A041" w:rsidR="003F2CE2" w:rsidRPr="00334B31" w:rsidRDefault="004534B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w:drawing>
          <wp:inline distT="0" distB="0" distL="0" distR="0" wp14:anchorId="343AD08E" wp14:editId="7E45109A">
            <wp:extent cx="5400040" cy="1648260"/>
            <wp:effectExtent l="0" t="0" r="0" b="9525"/>
            <wp:docPr id="20284427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42722" name="図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4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8C0E" w14:textId="77777777" w:rsidR="00D84D17" w:rsidRPr="00334B31" w:rsidRDefault="00D84D17">
      <w:pPr>
        <w:rPr>
          <w:rFonts w:asciiTheme="minorEastAsia" w:eastAsiaTheme="minorEastAsia" w:hAnsiTheme="minorEastAsia"/>
        </w:rPr>
      </w:pPr>
    </w:p>
    <w:p w14:paraId="5ACA62EA" w14:textId="77777777" w:rsidR="004534BA" w:rsidRPr="004534BA" w:rsidRDefault="004534BA" w:rsidP="004534BA">
      <w:pPr>
        <w:rPr>
          <w:rFonts w:asciiTheme="minorEastAsia" w:eastAsiaTheme="minorEastAsia" w:hAnsiTheme="minorEastAsia"/>
          <w:b/>
          <w:bCs/>
          <w:noProof/>
        </w:rPr>
      </w:pPr>
      <w:r w:rsidRPr="004534BA">
        <w:rPr>
          <w:rFonts w:asciiTheme="minorEastAsia" w:eastAsiaTheme="minorEastAsia" w:hAnsiTheme="minorEastAsia" w:hint="eastAsia"/>
          <w:b/>
          <w:bCs/>
          <w:noProof/>
        </w:rPr>
        <w:t>Phase 1：現状診断と統合ビジョンの策定</w:t>
      </w:r>
    </w:p>
    <w:p w14:paraId="21419C14" w14:textId="77777777" w:rsidR="004534BA" w:rsidRPr="004534BA" w:rsidRDefault="004534BA" w:rsidP="004534BA">
      <w:pPr>
        <w:rPr>
          <w:rFonts w:asciiTheme="minorEastAsia" w:eastAsiaTheme="minorEastAsia" w:hAnsiTheme="minorEastAsia"/>
          <w:noProof/>
        </w:rPr>
      </w:pPr>
      <w:r w:rsidRPr="004534BA">
        <w:rPr>
          <w:rFonts w:asciiTheme="minorEastAsia" w:eastAsiaTheme="minorEastAsia" w:hAnsiTheme="minorEastAsia" w:hint="eastAsia"/>
          <w:noProof/>
        </w:rPr>
        <w:t>・アセスメント：サステナビリティ推進体制とERM体制の双方を評価し、連携における課題やギャップを客観的に可視化します</w:t>
      </w:r>
    </w:p>
    <w:p w14:paraId="669FB194" w14:textId="624E662A" w:rsidR="00D84D17" w:rsidRPr="00334B31" w:rsidRDefault="004534BA" w:rsidP="004534BA">
      <w:pPr>
        <w:rPr>
          <w:rFonts w:asciiTheme="minorEastAsia" w:eastAsiaTheme="minorEastAsia" w:hAnsiTheme="minorEastAsia"/>
          <w:noProof/>
        </w:rPr>
      </w:pPr>
      <w:r w:rsidRPr="004534BA">
        <w:rPr>
          <w:rFonts w:asciiTheme="minorEastAsia" w:eastAsiaTheme="minorEastAsia" w:hAnsiTheme="minorEastAsia" w:hint="eastAsia"/>
          <w:noProof/>
        </w:rPr>
        <w:t>・ビジョン策定：関係者へのインタビューやワークショップを通じ、貴社における「サステナビリティ・ERM統合のあるべき姿」と、そこに至るまでのマイルストーンを共有・合意します</w:t>
      </w:r>
    </w:p>
    <w:p w14:paraId="176C6E62" w14:textId="77777777" w:rsidR="00D84D17" w:rsidRDefault="00D84D17" w:rsidP="00D84D17">
      <w:pPr>
        <w:rPr>
          <w:rFonts w:asciiTheme="minorEastAsia" w:eastAsiaTheme="minorEastAsia" w:hAnsiTheme="minorEastAsia"/>
          <w:noProof/>
        </w:rPr>
      </w:pPr>
    </w:p>
    <w:p w14:paraId="16460BA7" w14:textId="77777777" w:rsidR="004534BA" w:rsidRPr="004534BA" w:rsidRDefault="004534BA" w:rsidP="004534BA">
      <w:pPr>
        <w:rPr>
          <w:rFonts w:asciiTheme="minorEastAsia" w:eastAsiaTheme="minorEastAsia" w:hAnsiTheme="minorEastAsia"/>
          <w:b/>
          <w:bCs/>
          <w:noProof/>
        </w:rPr>
      </w:pPr>
      <w:r w:rsidRPr="004534BA">
        <w:rPr>
          <w:rFonts w:asciiTheme="minorEastAsia" w:eastAsiaTheme="minorEastAsia" w:hAnsiTheme="minorEastAsia" w:hint="eastAsia"/>
          <w:b/>
          <w:bCs/>
          <w:noProof/>
        </w:rPr>
        <w:t>Phase 2：統合フレームワーク・プロセスの設計</w:t>
      </w:r>
    </w:p>
    <w:p w14:paraId="1839C8F5" w14:textId="38F52D01" w:rsidR="004534BA" w:rsidRPr="004534BA" w:rsidRDefault="004534BA" w:rsidP="004534BA">
      <w:pPr>
        <w:rPr>
          <w:rFonts w:asciiTheme="minorEastAsia" w:eastAsiaTheme="minorEastAsia" w:hAnsiTheme="minorEastAsia"/>
          <w:noProof/>
        </w:rPr>
      </w:pPr>
      <w:r w:rsidRPr="004534BA">
        <w:rPr>
          <w:rFonts w:asciiTheme="minorEastAsia" w:eastAsiaTheme="minorEastAsia" w:hAnsiTheme="minorEastAsia" w:hint="eastAsia"/>
          <w:noProof/>
        </w:rPr>
        <w:t>・リスクユニバースの再定義：既存のリスク分類を見直し、気候変動、生物多様性、人権などのサステナビリティリスクと機会を体系的に整理します</w:t>
      </w:r>
    </w:p>
    <w:p w14:paraId="7BDF16D2" w14:textId="12755966" w:rsidR="004534BA" w:rsidRPr="004534BA" w:rsidRDefault="004534BA" w:rsidP="004534BA">
      <w:pPr>
        <w:rPr>
          <w:rFonts w:asciiTheme="minorEastAsia" w:eastAsiaTheme="minorEastAsia" w:hAnsiTheme="minorEastAsia"/>
          <w:noProof/>
        </w:rPr>
      </w:pPr>
      <w:r w:rsidRPr="004534BA">
        <w:rPr>
          <w:rFonts w:asciiTheme="minorEastAsia" w:eastAsiaTheme="minorEastAsia" w:hAnsiTheme="minorEastAsia" w:hint="eastAsia"/>
          <w:noProof/>
        </w:rPr>
        <w:t>・評価基準の共通化：サステナビリティリスクの特性（長期性、不確実性</w:t>
      </w:r>
      <w:r w:rsidR="002E438E">
        <w:rPr>
          <w:rFonts w:asciiTheme="minorEastAsia" w:eastAsiaTheme="minorEastAsia" w:hAnsiTheme="minorEastAsia" w:hint="eastAsia"/>
          <w:noProof/>
        </w:rPr>
        <w:t>など</w:t>
      </w:r>
      <w:r w:rsidRPr="004534BA">
        <w:rPr>
          <w:rFonts w:asciiTheme="minorEastAsia" w:eastAsiaTheme="minorEastAsia" w:hAnsiTheme="minorEastAsia" w:hint="eastAsia"/>
          <w:noProof/>
        </w:rPr>
        <w:t>）を考慮した共通の評価基準（インパクト評価など）を設計します</w:t>
      </w:r>
    </w:p>
    <w:p w14:paraId="5CD1B8D1" w14:textId="6D4EDCF3" w:rsidR="004534BA" w:rsidRDefault="004534BA" w:rsidP="004534BA">
      <w:pPr>
        <w:rPr>
          <w:rFonts w:asciiTheme="minorEastAsia" w:eastAsiaTheme="minorEastAsia" w:hAnsiTheme="minorEastAsia"/>
          <w:noProof/>
        </w:rPr>
      </w:pPr>
      <w:r w:rsidRPr="004534BA">
        <w:rPr>
          <w:rFonts w:asciiTheme="minorEastAsia" w:eastAsiaTheme="minorEastAsia" w:hAnsiTheme="minorEastAsia" w:hint="eastAsia"/>
          <w:noProof/>
        </w:rPr>
        <w:t>・統合プロセスの設計：リスクの特定、評価、対応、モニタリング、報告という一連のERMプロセスにサステナビリティ課題を組み込むための、具体的な業務フローと役割分担を定義します</w:t>
      </w:r>
    </w:p>
    <w:p w14:paraId="7EAD1AE1" w14:textId="77777777" w:rsidR="005001FA" w:rsidRDefault="005001FA" w:rsidP="004534BA">
      <w:pPr>
        <w:rPr>
          <w:rFonts w:asciiTheme="minorEastAsia" w:eastAsiaTheme="minorEastAsia" w:hAnsiTheme="minorEastAsia"/>
          <w:noProof/>
        </w:rPr>
      </w:pPr>
    </w:p>
    <w:p w14:paraId="45B329FA" w14:textId="77777777" w:rsidR="005001FA" w:rsidRPr="005001FA" w:rsidRDefault="005001FA" w:rsidP="005001FA">
      <w:pPr>
        <w:rPr>
          <w:rFonts w:asciiTheme="minorEastAsia" w:eastAsiaTheme="minorEastAsia" w:hAnsiTheme="minorEastAsia"/>
          <w:b/>
          <w:bCs/>
          <w:noProof/>
        </w:rPr>
      </w:pPr>
      <w:r w:rsidRPr="005001FA">
        <w:rPr>
          <w:rFonts w:asciiTheme="minorEastAsia" w:eastAsiaTheme="minorEastAsia" w:hAnsiTheme="minorEastAsia" w:hint="eastAsia"/>
          <w:b/>
          <w:bCs/>
          <w:noProof/>
        </w:rPr>
        <w:t>Phase 3：パイロット導入と全社展開</w:t>
      </w:r>
    </w:p>
    <w:p w14:paraId="055E22C8" w14:textId="22024EB3" w:rsidR="005001FA" w:rsidRPr="005001FA" w:rsidRDefault="005001FA" w:rsidP="005001FA">
      <w:pPr>
        <w:rPr>
          <w:rFonts w:asciiTheme="minorEastAsia" w:eastAsiaTheme="minorEastAsia" w:hAnsiTheme="minorEastAsia"/>
          <w:noProof/>
        </w:rPr>
      </w:pPr>
      <w:r w:rsidRPr="005001FA">
        <w:rPr>
          <w:rFonts w:asciiTheme="minorEastAsia" w:eastAsiaTheme="minorEastAsia" w:hAnsiTheme="minorEastAsia" w:hint="eastAsia"/>
          <w:noProof/>
        </w:rPr>
        <w:t>・パイロット実施：「気候関連の移行リスク」など特定のテーマを選定し、設計した統合プロセスを試験的に運用。実際の運用上の課題を抽出し、プロセスを改善します</w:t>
      </w:r>
    </w:p>
    <w:p w14:paraId="076906A9" w14:textId="77777777" w:rsidR="005001FA" w:rsidRPr="005001FA" w:rsidRDefault="005001FA" w:rsidP="005001FA">
      <w:pPr>
        <w:rPr>
          <w:rFonts w:asciiTheme="minorEastAsia" w:eastAsiaTheme="minorEastAsia" w:hAnsiTheme="minorEastAsia"/>
          <w:noProof/>
        </w:rPr>
      </w:pPr>
      <w:r w:rsidRPr="005001FA">
        <w:rPr>
          <w:rFonts w:asciiTheme="minorEastAsia" w:eastAsiaTheme="minorEastAsia" w:hAnsiTheme="minorEastAsia" w:hint="eastAsia"/>
          <w:noProof/>
        </w:rPr>
        <w:t>・ツール・様式の整備：統合されたリスク情報を管理するためのリスク台帳や、経営報告用のダッシュボードなどの様式を整備します</w:t>
      </w:r>
    </w:p>
    <w:p w14:paraId="114C8170" w14:textId="5C6B94B0" w:rsidR="005001FA" w:rsidRDefault="005001FA" w:rsidP="005001FA">
      <w:pPr>
        <w:rPr>
          <w:rFonts w:asciiTheme="minorEastAsia" w:eastAsiaTheme="minorEastAsia" w:hAnsiTheme="minorEastAsia"/>
          <w:noProof/>
        </w:rPr>
      </w:pPr>
      <w:r w:rsidRPr="005001FA">
        <w:rPr>
          <w:rFonts w:asciiTheme="minorEastAsia" w:eastAsiaTheme="minorEastAsia" w:hAnsiTheme="minorEastAsia" w:hint="eastAsia"/>
          <w:noProof/>
        </w:rPr>
        <w:t>・全社展開と定着化：全社に展開するための規程改訂や社内研修を実施し、新たなマネジメントサイクルの定着を支援します</w:t>
      </w:r>
    </w:p>
    <w:p w14:paraId="336F8DE2" w14:textId="77777777" w:rsidR="00D84D17" w:rsidRPr="00334B31" w:rsidRDefault="00D84D17">
      <w:pPr>
        <w:rPr>
          <w:rFonts w:asciiTheme="minorEastAsia" w:eastAsiaTheme="minorEastAsia" w:hAnsiTheme="minorEastAsia" w:cs="ＭＳ 明朝"/>
          <w:color w:val="000000"/>
        </w:rPr>
      </w:pPr>
    </w:p>
    <w:p w14:paraId="7C1646EB" w14:textId="77777777" w:rsidR="005001FA" w:rsidRPr="005001FA" w:rsidRDefault="008B2A34" w:rsidP="005001FA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【対象</w:t>
      </w:r>
      <w:r w:rsidR="0019447D"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】</w:t>
      </w:r>
      <w:r w:rsidR="005001FA" w:rsidRPr="005001FA">
        <w:rPr>
          <w:rFonts w:asciiTheme="minorEastAsia" w:eastAsiaTheme="minorEastAsia" w:hAnsiTheme="minorEastAsia" w:cs="ＭＳ 明朝" w:hint="eastAsia"/>
          <w:color w:val="000000"/>
        </w:rPr>
        <w:t>・サステナビリティ部門とリスク管理部門が個別に活動しており、連携に課題を感じている企業</w:t>
      </w:r>
    </w:p>
    <w:p w14:paraId="7DAB911D" w14:textId="45FBB6D2" w:rsidR="005001FA" w:rsidRPr="005001FA" w:rsidRDefault="005001FA" w:rsidP="005001FA">
      <w:pPr>
        <w:rPr>
          <w:rFonts w:asciiTheme="minorEastAsia" w:eastAsiaTheme="minorEastAsia" w:hAnsiTheme="minorEastAsia" w:cs="ＭＳ 明朝"/>
          <w:color w:val="000000"/>
        </w:rPr>
      </w:pPr>
      <w:r w:rsidRPr="005001FA">
        <w:rPr>
          <w:rFonts w:asciiTheme="minorEastAsia" w:eastAsiaTheme="minorEastAsia" w:hAnsiTheme="minorEastAsia" w:cs="ＭＳ 明朝" w:hint="eastAsia"/>
          <w:color w:val="000000"/>
        </w:rPr>
        <w:t>・TCFD/TNFDやSSBJ/ISSB対応を機に、サステナビリティリスクをERMに本格的に組み込みたい企業</w:t>
      </w:r>
    </w:p>
    <w:p w14:paraId="39EB0D88" w14:textId="77777777" w:rsidR="005001FA" w:rsidRPr="005001FA" w:rsidRDefault="005001FA" w:rsidP="005001FA">
      <w:pPr>
        <w:rPr>
          <w:rFonts w:asciiTheme="minorEastAsia" w:eastAsiaTheme="minorEastAsia" w:hAnsiTheme="minorEastAsia" w:cs="ＭＳ 明朝"/>
          <w:color w:val="000000"/>
        </w:rPr>
      </w:pPr>
      <w:r w:rsidRPr="005001FA">
        <w:rPr>
          <w:rFonts w:asciiTheme="minorEastAsia" w:eastAsiaTheme="minorEastAsia" w:hAnsiTheme="minorEastAsia" w:cs="ＭＳ 明朝" w:hint="eastAsia"/>
          <w:color w:val="000000"/>
        </w:rPr>
        <w:t>・マテリアリティ（重要課題）と全社的リスクの連動性を高め、経営の意思決定に活かし</w:t>
      </w:r>
      <w:r w:rsidRPr="005001FA">
        <w:rPr>
          <w:rFonts w:asciiTheme="minorEastAsia" w:eastAsiaTheme="minorEastAsia" w:hAnsiTheme="minorEastAsia" w:cs="ＭＳ 明朝" w:hint="eastAsia"/>
          <w:color w:val="000000"/>
        </w:rPr>
        <w:lastRenderedPageBreak/>
        <w:t>たい企業</w:t>
      </w:r>
    </w:p>
    <w:p w14:paraId="7D35D5CA" w14:textId="0972E7F6" w:rsidR="008B2A34" w:rsidRPr="005001FA" w:rsidRDefault="005001FA" w:rsidP="005001FA">
      <w:pPr>
        <w:rPr>
          <w:rFonts w:asciiTheme="minorEastAsia" w:eastAsiaTheme="minorEastAsia" w:hAnsiTheme="minorEastAsia" w:cs="ＭＳ 明朝"/>
          <w:color w:val="000000"/>
        </w:rPr>
      </w:pPr>
      <w:r w:rsidRPr="005001FA">
        <w:rPr>
          <w:rFonts w:asciiTheme="minorEastAsia" w:eastAsiaTheme="minorEastAsia" w:hAnsiTheme="minorEastAsia" w:cs="ＭＳ 明朝" w:hint="eastAsia"/>
          <w:color w:val="000000"/>
        </w:rPr>
        <w:t>・サステナビリティを「守り」のリスク管理だけでなく、「攻め」の事業機会創出に繋げたい企業</w:t>
      </w:r>
    </w:p>
    <w:p w14:paraId="7C5FCBA7" w14:textId="1A8E6CB5" w:rsidR="00F2787F" w:rsidRDefault="00F2787F" w:rsidP="00F2787F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【</w:t>
      </w:r>
      <w:r w:rsidR="004C1EDF"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期間</w:t>
      </w:r>
      <w:r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】</w:t>
      </w:r>
      <w:r w:rsidR="005001FA" w:rsidRPr="005001FA">
        <w:rPr>
          <w:rFonts w:asciiTheme="minorEastAsia" w:eastAsiaTheme="minorEastAsia" w:hAnsiTheme="minorEastAsia" w:cs="ＭＳ 明朝" w:hint="eastAsia"/>
          <w:color w:val="000000"/>
        </w:rPr>
        <w:t>支援範囲と貴社の組織規模や課題の複雑性により変動しますが、標準的な期間は以下の通りです。ご要望に応じて柔軟に設定可能です</w:t>
      </w:r>
      <w:r w:rsidR="005001FA">
        <w:rPr>
          <w:rFonts w:asciiTheme="minorEastAsia" w:eastAsiaTheme="minorEastAsia" w:hAnsiTheme="minorEastAsia" w:cs="ＭＳ 明朝" w:hint="eastAsia"/>
          <w:color w:val="000000"/>
        </w:rPr>
        <w:t>。</w:t>
      </w:r>
    </w:p>
    <w:p w14:paraId="3B1D0E4B" w14:textId="77777777" w:rsidR="005001FA" w:rsidRPr="005001FA" w:rsidRDefault="005001FA" w:rsidP="005001FA">
      <w:pPr>
        <w:rPr>
          <w:rFonts w:asciiTheme="minorEastAsia" w:eastAsiaTheme="minorEastAsia" w:hAnsiTheme="minorEastAsia" w:cs="ＭＳ 明朝"/>
          <w:color w:val="000000"/>
        </w:rPr>
      </w:pPr>
      <w:r w:rsidRPr="005001FA">
        <w:rPr>
          <w:rFonts w:asciiTheme="minorEastAsia" w:eastAsiaTheme="minorEastAsia" w:hAnsiTheme="minorEastAsia" w:cs="ＭＳ 明朝" w:hint="eastAsia"/>
          <w:color w:val="000000"/>
        </w:rPr>
        <w:t>・標準プロジェクト（Phase 1～3の包括支援）：約6ヶ月～12ヶ月</w:t>
      </w:r>
    </w:p>
    <w:p w14:paraId="751ABFDA" w14:textId="64BA2C1C" w:rsidR="005001FA" w:rsidRPr="00334B31" w:rsidRDefault="005001FA" w:rsidP="005001FA">
      <w:pPr>
        <w:rPr>
          <w:rFonts w:asciiTheme="minorEastAsia" w:eastAsiaTheme="minorEastAsia" w:hAnsiTheme="minorEastAsia" w:cs="ＭＳ 明朝"/>
          <w:color w:val="000000"/>
        </w:rPr>
      </w:pPr>
      <w:r w:rsidRPr="005001FA">
        <w:rPr>
          <w:rFonts w:asciiTheme="minorEastAsia" w:eastAsiaTheme="minorEastAsia" w:hAnsiTheme="minorEastAsia" w:cs="ＭＳ 明朝" w:hint="eastAsia"/>
          <w:color w:val="000000"/>
        </w:rPr>
        <w:t>・診断プロジェクト（Phase 1のみ）：約2ヶ月～3ヶ月</w:t>
      </w:r>
    </w:p>
    <w:p w14:paraId="06696562" w14:textId="1F9C2B95" w:rsidR="00A136A6" w:rsidRPr="00334B31" w:rsidRDefault="008B2A34" w:rsidP="00930188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【</w:t>
      </w:r>
      <w:r w:rsidR="004C1EDF"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価格</w:t>
      </w:r>
      <w:r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】</w:t>
      </w:r>
      <w:r w:rsidR="005001FA">
        <w:rPr>
          <w:rFonts w:asciiTheme="minorEastAsia" w:eastAsiaTheme="minorEastAsia" w:hAnsiTheme="minorEastAsia" w:cs="ＭＳ 明朝" w:hint="eastAsia"/>
          <w:color w:val="000000"/>
        </w:rPr>
        <w:t>応相談</w:t>
      </w:r>
    </w:p>
    <w:p w14:paraId="5489A38C" w14:textId="3F542446" w:rsidR="00A1697E" w:rsidRPr="00A1697E" w:rsidRDefault="00882750" w:rsidP="00882750">
      <w:pPr>
        <w:jc w:val="left"/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【詳細</w:t>
      </w:r>
      <w:r w:rsidR="00D84D17"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】</w:t>
      </w:r>
      <w:hyperlink r:id="rId16" w:history="1">
        <w:r w:rsidR="00A1697E" w:rsidRPr="00EB53CE">
          <w:rPr>
            <w:rStyle w:val="a5"/>
            <w:rFonts w:asciiTheme="minorEastAsia" w:eastAsiaTheme="minorEastAsia" w:hAnsiTheme="minorEastAsia" w:cs="ＭＳ 明朝"/>
          </w:rPr>
          <w:t>https://www.newton-consulting.co.jp/solution/erm/sustainability_integration.html</w:t>
        </w:r>
      </w:hyperlink>
    </w:p>
    <w:p w14:paraId="4AB739CE" w14:textId="77777777" w:rsidR="00882750" w:rsidRPr="00334B31" w:rsidRDefault="00882750">
      <w:pPr>
        <w:rPr>
          <w:rFonts w:asciiTheme="minorEastAsia" w:eastAsiaTheme="minorEastAsia" w:hAnsiTheme="minorEastAsia" w:cs="ＭＳ 明朝"/>
          <w:color w:val="000000"/>
        </w:rPr>
      </w:pPr>
    </w:p>
    <w:p w14:paraId="35A84664" w14:textId="53F720EE" w:rsidR="00A256C4" w:rsidRPr="00334B31" w:rsidRDefault="00751ADA">
      <w:pPr>
        <w:rPr>
          <w:rFonts w:asciiTheme="minorEastAsia" w:eastAsiaTheme="minorEastAsia" w:hAnsiTheme="minorEastAsia" w:cs="ＭＳ 明朝"/>
          <w:b/>
          <w:bCs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【ニュートン・コンサルティング株式会社 概要】</w:t>
      </w:r>
    </w:p>
    <w:p w14:paraId="3F4425F2" w14:textId="34708C22" w:rsidR="00624E16" w:rsidRPr="00334B31" w:rsidRDefault="00624E16">
      <w:pPr>
        <w:rPr>
          <w:rFonts w:asciiTheme="minorEastAsia" w:eastAsiaTheme="minorEastAsia" w:hAnsiTheme="minorEastAsia" w:cs="ＭＳ 明朝"/>
          <w:color w:val="000000"/>
        </w:rPr>
      </w:pPr>
      <w:hyperlink r:id="rId17" w:history="1">
        <w:r w:rsidRPr="00334B31">
          <w:rPr>
            <w:rStyle w:val="a5"/>
            <w:rFonts w:asciiTheme="minorEastAsia" w:eastAsiaTheme="minorEastAsia" w:hAnsiTheme="minorEastAsia" w:cs="ＭＳ 明朝" w:hint="eastAsia"/>
          </w:rPr>
          <w:t>https://www.newton-consulting.co.jp/</w:t>
        </w:r>
      </w:hyperlink>
    </w:p>
    <w:p w14:paraId="299EFB60" w14:textId="77777777" w:rsidR="00A256C4" w:rsidRPr="00334B31" w:rsidRDefault="00751ADA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 xml:space="preserve">社名　</w:t>
      </w:r>
      <w:r w:rsidRPr="00334B31">
        <w:rPr>
          <w:rFonts w:asciiTheme="minorEastAsia" w:eastAsiaTheme="minorEastAsia" w:hAnsiTheme="minorEastAsia" w:cs="ＭＳ 明朝" w:hint="eastAsia"/>
          <w:color w:val="000000"/>
        </w:rPr>
        <w:tab/>
        <w:t>：ニュートン・コンサルティング株式会社</w:t>
      </w:r>
    </w:p>
    <w:p w14:paraId="531E6A24" w14:textId="77777777" w:rsidR="00A256C4" w:rsidRPr="00334B31" w:rsidRDefault="00751ADA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>所在地　：東京都千代田区麹町1-7 相互半蔵門ビルディング5F</w:t>
      </w:r>
    </w:p>
    <w:p w14:paraId="50DABFDE" w14:textId="77777777" w:rsidR="00A256C4" w:rsidRPr="00334B31" w:rsidRDefault="00751ADA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 xml:space="preserve">設立　</w:t>
      </w:r>
      <w:r w:rsidRPr="00334B31">
        <w:rPr>
          <w:rFonts w:asciiTheme="minorEastAsia" w:eastAsiaTheme="minorEastAsia" w:hAnsiTheme="minorEastAsia" w:cs="ＭＳ 明朝" w:hint="eastAsia"/>
          <w:color w:val="000000"/>
        </w:rPr>
        <w:tab/>
        <w:t>：2006年11月13日</w:t>
      </w:r>
    </w:p>
    <w:p w14:paraId="72FF8ADA" w14:textId="4C3BD90D" w:rsidR="00A256C4" w:rsidRPr="00334B31" w:rsidRDefault="00751ADA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>資本金　：30,000,000円（202</w:t>
      </w:r>
      <w:r w:rsidR="00930188" w:rsidRPr="00334B31">
        <w:rPr>
          <w:rFonts w:asciiTheme="minorEastAsia" w:eastAsiaTheme="minorEastAsia" w:hAnsiTheme="minorEastAsia" w:cs="ＭＳ 明朝" w:hint="eastAsia"/>
          <w:color w:val="000000"/>
        </w:rPr>
        <w:t>4</w:t>
      </w:r>
      <w:r w:rsidRPr="00334B31">
        <w:rPr>
          <w:rFonts w:asciiTheme="minorEastAsia" w:eastAsiaTheme="minorEastAsia" w:hAnsiTheme="minorEastAsia" w:cs="ＭＳ 明朝" w:hint="eastAsia"/>
          <w:color w:val="000000"/>
        </w:rPr>
        <w:t>年12月末</w:t>
      </w:r>
      <w:r w:rsidRPr="00334B31">
        <w:rPr>
          <w:rFonts w:asciiTheme="minorEastAsia" w:eastAsiaTheme="minorEastAsia" w:hAnsiTheme="minorEastAsia" w:cs="ＭＳ 明朝" w:hint="eastAsia"/>
        </w:rPr>
        <w:t>時点</w:t>
      </w:r>
      <w:r w:rsidRPr="00334B31">
        <w:rPr>
          <w:rFonts w:asciiTheme="minorEastAsia" w:eastAsiaTheme="minorEastAsia" w:hAnsiTheme="minorEastAsia" w:cs="ＭＳ 明朝" w:hint="eastAsia"/>
          <w:color w:val="000000"/>
        </w:rPr>
        <w:t>）</w:t>
      </w:r>
    </w:p>
    <w:p w14:paraId="507EB9EA" w14:textId="77777777" w:rsidR="00A256C4" w:rsidRPr="00334B31" w:rsidRDefault="00751ADA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>代表者　：代表取締役社長　副島 一也</w:t>
      </w:r>
    </w:p>
    <w:p w14:paraId="28AF356E" w14:textId="77777777" w:rsidR="00A256C4" w:rsidRPr="00334B31" w:rsidRDefault="00751ADA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>事業内容　：リスクマネジメントに関わるコンサルティング</w:t>
      </w:r>
    </w:p>
    <w:p w14:paraId="64A17442" w14:textId="77777777" w:rsidR="00A256C4" w:rsidRPr="00334B31" w:rsidRDefault="00A256C4">
      <w:pPr>
        <w:rPr>
          <w:rFonts w:asciiTheme="minorEastAsia" w:eastAsiaTheme="minorEastAsia" w:hAnsiTheme="minorEastAsia" w:cs="ＭＳ 明朝"/>
          <w:color w:val="000000"/>
        </w:rPr>
      </w:pPr>
    </w:p>
    <w:p w14:paraId="63687A56" w14:textId="77777777" w:rsidR="009E36F0" w:rsidRPr="00334B31" w:rsidRDefault="00751ADA">
      <w:pPr>
        <w:rPr>
          <w:rFonts w:asciiTheme="minorEastAsia" w:eastAsiaTheme="minorEastAsia" w:hAnsiTheme="minorEastAsia" w:cs="ＭＳ 明朝"/>
          <w:b/>
          <w:bCs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【サポート実績】</w:t>
      </w:r>
    </w:p>
    <w:p w14:paraId="7B8E5EEB" w14:textId="5600E79D" w:rsidR="009E36F0" w:rsidRPr="00334B31" w:rsidRDefault="009E36F0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>民間企業をはじめ官公庁や地方公共団体、国立大学法人に至るまで約2,100社の支援実績を有する</w:t>
      </w:r>
    </w:p>
    <w:p w14:paraId="01AFE822" w14:textId="3A2A15AD" w:rsidR="00A256C4" w:rsidRPr="00334B31" w:rsidRDefault="00751ADA">
      <w:pPr>
        <w:rPr>
          <w:rFonts w:asciiTheme="minorEastAsia" w:eastAsiaTheme="minorEastAsia" w:hAnsiTheme="minorEastAsia" w:cs="ＭＳ 明朝"/>
          <w:b/>
          <w:bCs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 xml:space="preserve">～お客様事例～　</w:t>
      </w:r>
    </w:p>
    <w:p w14:paraId="546911F4" w14:textId="77777777" w:rsidR="00A256C4" w:rsidRPr="00334B31" w:rsidRDefault="00751ADA">
      <w:pPr>
        <w:rPr>
          <w:rFonts w:asciiTheme="minorEastAsia" w:eastAsiaTheme="minorEastAsia" w:hAnsiTheme="minorEastAsia" w:cs="ＭＳ 明朝"/>
          <w:color w:val="000000"/>
        </w:rPr>
      </w:pPr>
      <w:hyperlink r:id="rId18">
        <w:r w:rsidRPr="00334B31">
          <w:rPr>
            <w:rFonts w:asciiTheme="minorEastAsia" w:eastAsiaTheme="minorEastAsia" w:hAnsiTheme="minorEastAsia" w:cs="ＭＳ 明朝" w:hint="eastAsia"/>
            <w:color w:val="0000FF"/>
            <w:u w:val="single"/>
          </w:rPr>
          <w:t>https://www.newton-consulting.co.jp/casestudy/</w:t>
        </w:r>
      </w:hyperlink>
    </w:p>
    <w:p w14:paraId="5DE2A0EC" w14:textId="77777777" w:rsidR="00A256C4" w:rsidRPr="00334B31" w:rsidRDefault="00A256C4">
      <w:pPr>
        <w:rPr>
          <w:rFonts w:asciiTheme="minorEastAsia" w:eastAsiaTheme="minorEastAsia" w:hAnsiTheme="minorEastAsia" w:cs="ＭＳ 明朝"/>
          <w:color w:val="000000"/>
        </w:rPr>
      </w:pPr>
    </w:p>
    <w:p w14:paraId="5A446210" w14:textId="77777777" w:rsidR="00A256C4" w:rsidRPr="00334B31" w:rsidRDefault="00751ADA">
      <w:pPr>
        <w:rPr>
          <w:rFonts w:asciiTheme="minorEastAsia" w:eastAsiaTheme="minorEastAsia" w:hAnsiTheme="minorEastAsia" w:cs="ＭＳ 明朝"/>
          <w:b/>
          <w:bCs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b/>
          <w:bCs/>
          <w:color w:val="000000"/>
        </w:rPr>
        <w:t>【本件に関するお問い合わせ先】</w:t>
      </w:r>
    </w:p>
    <w:p w14:paraId="0C72E1F9" w14:textId="77777777" w:rsidR="00A256C4" w:rsidRPr="00334B31" w:rsidRDefault="00751ADA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 xml:space="preserve">ニュートン・コンサルティング株式会社　</w:t>
      </w:r>
    </w:p>
    <w:p w14:paraId="2E53BEFC" w14:textId="11125A02" w:rsidR="00A256C4" w:rsidRPr="00334B31" w:rsidRDefault="00751ADA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>担当：</w:t>
      </w:r>
      <w:r w:rsidR="007E330E" w:rsidRPr="00334B31">
        <w:rPr>
          <w:rFonts w:asciiTheme="minorEastAsia" w:eastAsiaTheme="minorEastAsia" w:hAnsiTheme="minorEastAsia" w:cs="ＭＳ 明朝" w:hint="eastAsia"/>
          <w:color w:val="000000"/>
        </w:rPr>
        <w:t>吉田</w:t>
      </w:r>
    </w:p>
    <w:p w14:paraId="5DD2A5DB" w14:textId="77777777" w:rsidR="00A256C4" w:rsidRPr="00334B31" w:rsidRDefault="00751ADA">
      <w:pPr>
        <w:rPr>
          <w:rFonts w:asciiTheme="minorEastAsia" w:eastAsiaTheme="minorEastAsia" w:hAnsiTheme="minorEastAsia" w:cs="ＭＳ 明朝"/>
          <w:color w:val="000000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>TEL：03-3239-9209　 FAX：03-5913-9950</w:t>
      </w:r>
    </w:p>
    <w:p w14:paraId="7531BA5E" w14:textId="77777777" w:rsidR="00A256C4" w:rsidRPr="00334B31" w:rsidRDefault="00751ADA">
      <w:pPr>
        <w:rPr>
          <w:rFonts w:asciiTheme="minorEastAsia" w:eastAsiaTheme="minorEastAsia" w:hAnsiTheme="minorEastAsia"/>
        </w:rPr>
      </w:pPr>
      <w:r w:rsidRPr="00334B31">
        <w:rPr>
          <w:rFonts w:asciiTheme="minorEastAsia" w:eastAsiaTheme="minorEastAsia" w:hAnsiTheme="minorEastAsia" w:cs="ＭＳ 明朝" w:hint="eastAsia"/>
          <w:color w:val="000000"/>
        </w:rPr>
        <w:t>E-MAIL：info@newton-consulting.co.jp</w:t>
      </w:r>
    </w:p>
    <w:sectPr w:rsidR="00A256C4" w:rsidRPr="00334B31">
      <w:footerReference w:type="default" r:id="rId19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kamura hana" w:date="2025-08-26T12:38:00Z" w:initials="hn">
    <w:p w14:paraId="4DB817D0" w14:textId="6A9F477D" w:rsidR="000F6234" w:rsidRDefault="000F6234" w:rsidP="000F6234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図のデザインができ次第下の①～⑥と差し替えます。</w:t>
      </w:r>
    </w:p>
  </w:comment>
  <w:comment w:id="1" w:author="nakamura hana" w:date="2025-09-19T19:18:00Z" w:initials="hn">
    <w:p w14:paraId="3257F05A" w14:textId="77777777" w:rsidR="00C66988" w:rsidRDefault="0019447D" w:rsidP="00C66988">
      <w:pPr>
        <w:pStyle w:val="ac"/>
      </w:pPr>
      <w:r>
        <w:rPr>
          <w:rStyle w:val="ab"/>
        </w:rPr>
        <w:annotationRef/>
      </w:r>
      <w:r w:rsidR="00C66988">
        <w:rPr>
          <w:rFonts w:hint="eastAsia"/>
        </w:rPr>
        <w:t>星野さん＞</w:t>
      </w:r>
    </w:p>
    <w:p w14:paraId="430F631B" w14:textId="77777777" w:rsidR="00C66988" w:rsidRDefault="00C66988" w:rsidP="00C66988">
      <w:pPr>
        <w:pStyle w:val="ac"/>
      </w:pPr>
      <w:r>
        <w:rPr>
          <w:rFonts w:hint="eastAsia"/>
        </w:rPr>
        <w:t>サービス原稿にご記載いただいたア～エの内容を含めて図にして差し替えます。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B817D0" w15:done="1"/>
  <w15:commentEx w15:paraId="430F631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F8FE4A" w16cex:dateUtc="2025-08-26T03:38:00Z">
    <w16cex:extLst>
      <w16:ext w16:uri="{CE6994B0-6A32-4C9F-8C6B-6E91EDA988CE}">
        <cr:reactions xmlns:cr="http://schemas.microsoft.com/office/comments/2020/reactions">
          <cr:reaction reactionType="1">
            <cr:reactionInfo dateUtc="2025-08-30T08:32:11Z">
              <cr:user userId="NC法務" userProvider="None" userName="NC法務"/>
            </cr:reactionInfo>
          </cr:reaction>
        </cr:reactions>
      </w16:ext>
    </w16cex:extLst>
  </w16cex:commentExtensible>
  <w16cex:commentExtensible w16cex:durableId="724AA1FE" w16cex:dateUtc="2025-09-19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B817D0" w16cid:durableId="34F8FE4A"/>
  <w16cid:commentId w16cid:paraId="430F631B" w16cid:durableId="724AA1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C236" w14:textId="77777777" w:rsidR="00D63B1D" w:rsidRDefault="00D63B1D">
      <w:r>
        <w:separator/>
      </w:r>
    </w:p>
  </w:endnote>
  <w:endnote w:type="continuationSeparator" w:id="0">
    <w:p w14:paraId="231A13D2" w14:textId="77777777" w:rsidR="00D63B1D" w:rsidRDefault="00D6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7DBD" w14:textId="77777777" w:rsidR="00A256C4" w:rsidRDefault="00751A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entury" w:cs="Century"/>
        <w:color w:val="000000"/>
        <w:szCs w:val="21"/>
      </w:rPr>
    </w:pPr>
    <w:r>
      <w:rPr>
        <w:rFonts w:eastAsia="Century" w:cs="Century"/>
        <w:color w:val="000000"/>
        <w:szCs w:val="21"/>
      </w:rPr>
      <w:fldChar w:fldCharType="begin"/>
    </w:r>
    <w:r>
      <w:rPr>
        <w:rFonts w:eastAsia="Century" w:cs="Century"/>
        <w:color w:val="000000"/>
        <w:szCs w:val="21"/>
      </w:rPr>
      <w:instrText>PAGE</w:instrText>
    </w:r>
    <w:r>
      <w:rPr>
        <w:rFonts w:eastAsia="Century" w:cs="Century"/>
        <w:color w:val="000000"/>
        <w:szCs w:val="21"/>
      </w:rPr>
      <w:fldChar w:fldCharType="separate"/>
    </w:r>
    <w:r w:rsidR="00431094">
      <w:rPr>
        <w:rFonts w:eastAsia="Century" w:cs="Century"/>
        <w:noProof/>
        <w:color w:val="000000"/>
        <w:szCs w:val="21"/>
      </w:rPr>
      <w:t>1</w:t>
    </w:r>
    <w:r>
      <w:rPr>
        <w:rFonts w:eastAsia="Century" w:cs="Century"/>
        <w:color w:val="000000"/>
        <w:szCs w:val="21"/>
      </w:rPr>
      <w:fldChar w:fldCharType="end"/>
    </w:r>
  </w:p>
  <w:p w14:paraId="061FB56C" w14:textId="77777777" w:rsidR="00A256C4" w:rsidRDefault="00A256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entury" w:cs="Century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7CE9" w14:textId="77777777" w:rsidR="00D63B1D" w:rsidRDefault="00D63B1D">
      <w:r>
        <w:separator/>
      </w:r>
    </w:p>
  </w:footnote>
  <w:footnote w:type="continuationSeparator" w:id="0">
    <w:p w14:paraId="5F8F4F17" w14:textId="77777777" w:rsidR="00D63B1D" w:rsidRDefault="00D63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5ED"/>
    <w:multiLevelType w:val="hybridMultilevel"/>
    <w:tmpl w:val="62746C18"/>
    <w:lvl w:ilvl="0" w:tplc="6422F59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682AAF"/>
    <w:multiLevelType w:val="hybridMultilevel"/>
    <w:tmpl w:val="53543564"/>
    <w:lvl w:ilvl="0" w:tplc="E89A1CF2">
      <w:start w:val="1"/>
      <w:numFmt w:val="aiueoFullWidth"/>
      <w:lvlText w:val="%1）"/>
      <w:lvlJc w:val="left"/>
      <w:pPr>
        <w:ind w:left="420" w:hanging="420"/>
      </w:pPr>
      <w:rPr>
        <w:rFonts w:hint="default"/>
      </w:rPr>
    </w:lvl>
    <w:lvl w:ilvl="1" w:tplc="AC6C4EBE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C35842"/>
    <w:multiLevelType w:val="hybridMultilevel"/>
    <w:tmpl w:val="CC904158"/>
    <w:lvl w:ilvl="0" w:tplc="25A8E9D2">
      <w:numFmt w:val="bullet"/>
      <w:lvlText w:val="・"/>
      <w:lvlJc w:val="left"/>
      <w:pPr>
        <w:ind w:left="640" w:hanging="440"/>
      </w:pPr>
      <w:rPr>
        <w:rFonts w:ascii="Meiryo UI" w:eastAsia="Meiryo UI" w:hAnsi="Meiryo UI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" w15:restartNumberingAfterBreak="0">
    <w:nsid w:val="259D2634"/>
    <w:multiLevelType w:val="multilevel"/>
    <w:tmpl w:val="7F16ED90"/>
    <w:lvl w:ilvl="0">
      <w:start w:val="1"/>
      <w:numFmt w:val="decimal"/>
      <w:lvlText w:val="%1．"/>
      <w:lvlJc w:val="left"/>
      <w:pPr>
        <w:ind w:left="440" w:hanging="440"/>
      </w:pPr>
    </w:lvl>
    <w:lvl w:ilvl="1">
      <w:start w:val="1"/>
      <w:numFmt w:val="decimal"/>
      <w:lvlText w:val="%2"/>
      <w:lvlJc w:val="left"/>
      <w:pPr>
        <w:ind w:left="780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4" w15:restartNumberingAfterBreak="0">
    <w:nsid w:val="2C5D38D4"/>
    <w:multiLevelType w:val="hybridMultilevel"/>
    <w:tmpl w:val="883AC0C8"/>
    <w:lvl w:ilvl="0" w:tplc="901867A4">
      <w:start w:val="1"/>
      <w:numFmt w:val="aiueo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D90116"/>
    <w:multiLevelType w:val="multilevel"/>
    <w:tmpl w:val="BA18DE0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CFA0E6C"/>
    <w:multiLevelType w:val="hybridMultilevel"/>
    <w:tmpl w:val="2C5E85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A7066E"/>
    <w:multiLevelType w:val="hybridMultilevel"/>
    <w:tmpl w:val="C88C3CDE"/>
    <w:lvl w:ilvl="0" w:tplc="25A8E9D2">
      <w:numFmt w:val="bullet"/>
      <w:lvlText w:val="・"/>
      <w:lvlJc w:val="left"/>
      <w:pPr>
        <w:ind w:left="640" w:hanging="440"/>
      </w:pPr>
      <w:rPr>
        <w:rFonts w:ascii="Meiryo UI" w:eastAsia="Meiryo UI" w:hAnsi="Meiryo UI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8" w15:restartNumberingAfterBreak="0">
    <w:nsid w:val="531B7F2F"/>
    <w:multiLevelType w:val="hybridMultilevel"/>
    <w:tmpl w:val="86A63536"/>
    <w:lvl w:ilvl="0" w:tplc="8BA25C5A">
      <w:start w:val="1"/>
      <w:numFmt w:val="decimalFullWidth"/>
      <w:lvlText w:val="%1）"/>
      <w:lvlJc w:val="left"/>
      <w:pPr>
        <w:ind w:left="592" w:hanging="450"/>
      </w:pPr>
      <w:rPr>
        <w:rFonts w:ascii="ＭＳ 明朝"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9" w15:restartNumberingAfterBreak="0">
    <w:nsid w:val="6BA7294C"/>
    <w:multiLevelType w:val="hybridMultilevel"/>
    <w:tmpl w:val="CD5CEE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0F63B0"/>
    <w:multiLevelType w:val="hybridMultilevel"/>
    <w:tmpl w:val="1E32C57C"/>
    <w:lvl w:ilvl="0" w:tplc="9C7811B2">
      <w:start w:val="3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2F60F68"/>
    <w:multiLevelType w:val="hybridMultilevel"/>
    <w:tmpl w:val="E1202C00"/>
    <w:lvl w:ilvl="0" w:tplc="11A8C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3A63D4"/>
    <w:multiLevelType w:val="multilevel"/>
    <w:tmpl w:val="32368B52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959267420">
    <w:abstractNumId w:val="12"/>
  </w:num>
  <w:num w:numId="2" w16cid:durableId="322440645">
    <w:abstractNumId w:val="3"/>
  </w:num>
  <w:num w:numId="3" w16cid:durableId="1705667410">
    <w:abstractNumId w:val="5"/>
  </w:num>
  <w:num w:numId="4" w16cid:durableId="2055619850">
    <w:abstractNumId w:val="0"/>
  </w:num>
  <w:num w:numId="5" w16cid:durableId="1932659226">
    <w:abstractNumId w:val="6"/>
  </w:num>
  <w:num w:numId="6" w16cid:durableId="1422684113">
    <w:abstractNumId w:val="9"/>
  </w:num>
  <w:num w:numId="7" w16cid:durableId="775828868">
    <w:abstractNumId w:val="8"/>
  </w:num>
  <w:num w:numId="8" w16cid:durableId="2089185042">
    <w:abstractNumId w:val="10"/>
  </w:num>
  <w:num w:numId="9" w16cid:durableId="1739597323">
    <w:abstractNumId w:val="2"/>
  </w:num>
  <w:num w:numId="10" w16cid:durableId="613177471">
    <w:abstractNumId w:val="7"/>
  </w:num>
  <w:num w:numId="11" w16cid:durableId="840851569">
    <w:abstractNumId w:val="11"/>
  </w:num>
  <w:num w:numId="12" w16cid:durableId="1045987042">
    <w:abstractNumId w:val="1"/>
  </w:num>
  <w:num w:numId="13" w16cid:durableId="25035564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kamura hana">
    <w15:presenceInfo w15:providerId="AD" w15:userId="S::hana.nakamura@newton-consulting.co.jp::81dab594-81eb-4ebc-8da1-8b5a4c23d8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C4"/>
    <w:rsid w:val="000175C1"/>
    <w:rsid w:val="000200AC"/>
    <w:rsid w:val="0002165F"/>
    <w:rsid w:val="00027A11"/>
    <w:rsid w:val="00035C15"/>
    <w:rsid w:val="00046134"/>
    <w:rsid w:val="00065916"/>
    <w:rsid w:val="00066FC3"/>
    <w:rsid w:val="000706B8"/>
    <w:rsid w:val="00072FBA"/>
    <w:rsid w:val="00075DA7"/>
    <w:rsid w:val="00095C25"/>
    <w:rsid w:val="000B249A"/>
    <w:rsid w:val="000D5A32"/>
    <w:rsid w:val="000D6CE3"/>
    <w:rsid w:val="000F21EF"/>
    <w:rsid w:val="000F3DD8"/>
    <w:rsid w:val="000F6234"/>
    <w:rsid w:val="000F6C35"/>
    <w:rsid w:val="001104BB"/>
    <w:rsid w:val="00114308"/>
    <w:rsid w:val="00127EFE"/>
    <w:rsid w:val="00143497"/>
    <w:rsid w:val="001442E2"/>
    <w:rsid w:val="00156354"/>
    <w:rsid w:val="00156418"/>
    <w:rsid w:val="00161D37"/>
    <w:rsid w:val="00162597"/>
    <w:rsid w:val="001668BE"/>
    <w:rsid w:val="00173F3A"/>
    <w:rsid w:val="00183847"/>
    <w:rsid w:val="00191917"/>
    <w:rsid w:val="00192054"/>
    <w:rsid w:val="00192793"/>
    <w:rsid w:val="00192CCE"/>
    <w:rsid w:val="0019447D"/>
    <w:rsid w:val="001A4995"/>
    <w:rsid w:val="001B1814"/>
    <w:rsid w:val="001B3433"/>
    <w:rsid w:val="001D1EC7"/>
    <w:rsid w:val="001F1D28"/>
    <w:rsid w:val="0020414D"/>
    <w:rsid w:val="00205238"/>
    <w:rsid w:val="002079C1"/>
    <w:rsid w:val="00215F00"/>
    <w:rsid w:val="0022782E"/>
    <w:rsid w:val="002410DE"/>
    <w:rsid w:val="002459A8"/>
    <w:rsid w:val="0025612E"/>
    <w:rsid w:val="0025673C"/>
    <w:rsid w:val="00257C33"/>
    <w:rsid w:val="00297EDA"/>
    <w:rsid w:val="002B7083"/>
    <w:rsid w:val="002C5DC2"/>
    <w:rsid w:val="002C7B79"/>
    <w:rsid w:val="002D1D7C"/>
    <w:rsid w:val="002E26BE"/>
    <w:rsid w:val="002E438E"/>
    <w:rsid w:val="002E553E"/>
    <w:rsid w:val="002F669F"/>
    <w:rsid w:val="00301D68"/>
    <w:rsid w:val="00333D3E"/>
    <w:rsid w:val="00334B31"/>
    <w:rsid w:val="003351F8"/>
    <w:rsid w:val="00364780"/>
    <w:rsid w:val="003804B5"/>
    <w:rsid w:val="0038630F"/>
    <w:rsid w:val="00392BBA"/>
    <w:rsid w:val="003A0C93"/>
    <w:rsid w:val="003C0838"/>
    <w:rsid w:val="003D17AE"/>
    <w:rsid w:val="003D3221"/>
    <w:rsid w:val="003F2CE2"/>
    <w:rsid w:val="003F7D52"/>
    <w:rsid w:val="0040244D"/>
    <w:rsid w:val="00431094"/>
    <w:rsid w:val="0043303C"/>
    <w:rsid w:val="004356C2"/>
    <w:rsid w:val="00444AAF"/>
    <w:rsid w:val="004523DA"/>
    <w:rsid w:val="004534BA"/>
    <w:rsid w:val="00453B11"/>
    <w:rsid w:val="00467EF3"/>
    <w:rsid w:val="00475465"/>
    <w:rsid w:val="004916AC"/>
    <w:rsid w:val="00492C7D"/>
    <w:rsid w:val="00497AC0"/>
    <w:rsid w:val="004B7B99"/>
    <w:rsid w:val="004C1EDF"/>
    <w:rsid w:val="004D42C4"/>
    <w:rsid w:val="004D638D"/>
    <w:rsid w:val="004D7AB0"/>
    <w:rsid w:val="004E4D92"/>
    <w:rsid w:val="004F514F"/>
    <w:rsid w:val="005001FA"/>
    <w:rsid w:val="005022A2"/>
    <w:rsid w:val="00516C5D"/>
    <w:rsid w:val="00526C5F"/>
    <w:rsid w:val="00532BC9"/>
    <w:rsid w:val="00540D7B"/>
    <w:rsid w:val="00541AAB"/>
    <w:rsid w:val="00542702"/>
    <w:rsid w:val="00545855"/>
    <w:rsid w:val="00560097"/>
    <w:rsid w:val="00561130"/>
    <w:rsid w:val="005821C7"/>
    <w:rsid w:val="005929D6"/>
    <w:rsid w:val="00596D6B"/>
    <w:rsid w:val="005A2DD8"/>
    <w:rsid w:val="005A3486"/>
    <w:rsid w:val="005C347D"/>
    <w:rsid w:val="005E6B16"/>
    <w:rsid w:val="005F351D"/>
    <w:rsid w:val="005F4BBA"/>
    <w:rsid w:val="006030FE"/>
    <w:rsid w:val="00612AA1"/>
    <w:rsid w:val="00621304"/>
    <w:rsid w:val="00624E16"/>
    <w:rsid w:val="00625CF0"/>
    <w:rsid w:val="00625D0A"/>
    <w:rsid w:val="006263FB"/>
    <w:rsid w:val="00627D14"/>
    <w:rsid w:val="00642380"/>
    <w:rsid w:val="00652605"/>
    <w:rsid w:val="0067466F"/>
    <w:rsid w:val="00685596"/>
    <w:rsid w:val="0068597B"/>
    <w:rsid w:val="006A2BA6"/>
    <w:rsid w:val="006A6F46"/>
    <w:rsid w:val="006B0B21"/>
    <w:rsid w:val="006D7467"/>
    <w:rsid w:val="006F0449"/>
    <w:rsid w:val="006F1D34"/>
    <w:rsid w:val="006F5AA8"/>
    <w:rsid w:val="007136F6"/>
    <w:rsid w:val="00725FFA"/>
    <w:rsid w:val="00732F74"/>
    <w:rsid w:val="00732F8C"/>
    <w:rsid w:val="00735683"/>
    <w:rsid w:val="007510B0"/>
    <w:rsid w:val="00751AC9"/>
    <w:rsid w:val="00751ADA"/>
    <w:rsid w:val="00761376"/>
    <w:rsid w:val="00775D24"/>
    <w:rsid w:val="00780B10"/>
    <w:rsid w:val="007A527A"/>
    <w:rsid w:val="007B1E84"/>
    <w:rsid w:val="007B32C5"/>
    <w:rsid w:val="007B32E4"/>
    <w:rsid w:val="007D202F"/>
    <w:rsid w:val="007D444F"/>
    <w:rsid w:val="007D5F30"/>
    <w:rsid w:val="007E330E"/>
    <w:rsid w:val="007F5FC7"/>
    <w:rsid w:val="007F68AD"/>
    <w:rsid w:val="007F6F12"/>
    <w:rsid w:val="00803609"/>
    <w:rsid w:val="00817AD4"/>
    <w:rsid w:val="0083257B"/>
    <w:rsid w:val="008337C7"/>
    <w:rsid w:val="00837126"/>
    <w:rsid w:val="008420BC"/>
    <w:rsid w:val="00850E93"/>
    <w:rsid w:val="00872CF9"/>
    <w:rsid w:val="00876E0D"/>
    <w:rsid w:val="00882750"/>
    <w:rsid w:val="00890F5E"/>
    <w:rsid w:val="00892694"/>
    <w:rsid w:val="00897C27"/>
    <w:rsid w:val="008A0819"/>
    <w:rsid w:val="008A3105"/>
    <w:rsid w:val="008A70FD"/>
    <w:rsid w:val="008B2A34"/>
    <w:rsid w:val="008B5707"/>
    <w:rsid w:val="008C223B"/>
    <w:rsid w:val="008C6755"/>
    <w:rsid w:val="008D0096"/>
    <w:rsid w:val="008F4D86"/>
    <w:rsid w:val="0090077F"/>
    <w:rsid w:val="009035DA"/>
    <w:rsid w:val="0092445A"/>
    <w:rsid w:val="00930188"/>
    <w:rsid w:val="009413E8"/>
    <w:rsid w:val="0097150E"/>
    <w:rsid w:val="0098167F"/>
    <w:rsid w:val="00984C52"/>
    <w:rsid w:val="00985145"/>
    <w:rsid w:val="009966CD"/>
    <w:rsid w:val="00997DD3"/>
    <w:rsid w:val="009A5747"/>
    <w:rsid w:val="009C292C"/>
    <w:rsid w:val="009D17E1"/>
    <w:rsid w:val="009E36F0"/>
    <w:rsid w:val="009E7E8C"/>
    <w:rsid w:val="009F06A9"/>
    <w:rsid w:val="009F0C5B"/>
    <w:rsid w:val="009F1097"/>
    <w:rsid w:val="00A06E51"/>
    <w:rsid w:val="00A11531"/>
    <w:rsid w:val="00A136A6"/>
    <w:rsid w:val="00A1697E"/>
    <w:rsid w:val="00A256C4"/>
    <w:rsid w:val="00A4516C"/>
    <w:rsid w:val="00A50C3B"/>
    <w:rsid w:val="00A7038C"/>
    <w:rsid w:val="00A8521C"/>
    <w:rsid w:val="00A94398"/>
    <w:rsid w:val="00A97939"/>
    <w:rsid w:val="00AA2F17"/>
    <w:rsid w:val="00AA79D5"/>
    <w:rsid w:val="00AB079B"/>
    <w:rsid w:val="00AB11C5"/>
    <w:rsid w:val="00AB4CD4"/>
    <w:rsid w:val="00AE11BA"/>
    <w:rsid w:val="00AE2AA4"/>
    <w:rsid w:val="00AE4601"/>
    <w:rsid w:val="00B336CD"/>
    <w:rsid w:val="00B42412"/>
    <w:rsid w:val="00B43606"/>
    <w:rsid w:val="00B45F49"/>
    <w:rsid w:val="00B46610"/>
    <w:rsid w:val="00B52939"/>
    <w:rsid w:val="00B57570"/>
    <w:rsid w:val="00B60B29"/>
    <w:rsid w:val="00B640AB"/>
    <w:rsid w:val="00B6799F"/>
    <w:rsid w:val="00B7372E"/>
    <w:rsid w:val="00B77021"/>
    <w:rsid w:val="00B932F3"/>
    <w:rsid w:val="00B95B84"/>
    <w:rsid w:val="00BA50C3"/>
    <w:rsid w:val="00BB57A6"/>
    <w:rsid w:val="00BB58FA"/>
    <w:rsid w:val="00BC4FB0"/>
    <w:rsid w:val="00BC635F"/>
    <w:rsid w:val="00BD2AD4"/>
    <w:rsid w:val="00BD5630"/>
    <w:rsid w:val="00BD5CDA"/>
    <w:rsid w:val="00BE6260"/>
    <w:rsid w:val="00BE6474"/>
    <w:rsid w:val="00C11539"/>
    <w:rsid w:val="00C21DD5"/>
    <w:rsid w:val="00C23C60"/>
    <w:rsid w:val="00C263F0"/>
    <w:rsid w:val="00C3399B"/>
    <w:rsid w:val="00C3659B"/>
    <w:rsid w:val="00C41689"/>
    <w:rsid w:val="00C41954"/>
    <w:rsid w:val="00C46F6F"/>
    <w:rsid w:val="00C5138C"/>
    <w:rsid w:val="00C66988"/>
    <w:rsid w:val="00C7626A"/>
    <w:rsid w:val="00C92D11"/>
    <w:rsid w:val="00CB2B6D"/>
    <w:rsid w:val="00CB7C95"/>
    <w:rsid w:val="00CC26EA"/>
    <w:rsid w:val="00CE092C"/>
    <w:rsid w:val="00CE1400"/>
    <w:rsid w:val="00CF0249"/>
    <w:rsid w:val="00CF15A0"/>
    <w:rsid w:val="00D03517"/>
    <w:rsid w:val="00D10282"/>
    <w:rsid w:val="00D1788E"/>
    <w:rsid w:val="00D22258"/>
    <w:rsid w:val="00D31F3C"/>
    <w:rsid w:val="00D476C7"/>
    <w:rsid w:val="00D56B30"/>
    <w:rsid w:val="00D60DBA"/>
    <w:rsid w:val="00D61BBB"/>
    <w:rsid w:val="00D63B1D"/>
    <w:rsid w:val="00D81A51"/>
    <w:rsid w:val="00D84D17"/>
    <w:rsid w:val="00D87D48"/>
    <w:rsid w:val="00DA2AB4"/>
    <w:rsid w:val="00DA7D1E"/>
    <w:rsid w:val="00DB7918"/>
    <w:rsid w:val="00DC4EFF"/>
    <w:rsid w:val="00DD632C"/>
    <w:rsid w:val="00DE6B38"/>
    <w:rsid w:val="00DE7BB3"/>
    <w:rsid w:val="00DF60BA"/>
    <w:rsid w:val="00E27458"/>
    <w:rsid w:val="00E37E3A"/>
    <w:rsid w:val="00E44919"/>
    <w:rsid w:val="00E4578E"/>
    <w:rsid w:val="00E46F33"/>
    <w:rsid w:val="00E47D41"/>
    <w:rsid w:val="00E66B45"/>
    <w:rsid w:val="00E72886"/>
    <w:rsid w:val="00E83973"/>
    <w:rsid w:val="00E937B0"/>
    <w:rsid w:val="00EB3EA3"/>
    <w:rsid w:val="00EC1127"/>
    <w:rsid w:val="00EC1F0A"/>
    <w:rsid w:val="00EC464E"/>
    <w:rsid w:val="00ED3EE1"/>
    <w:rsid w:val="00ED42A4"/>
    <w:rsid w:val="00ED79D0"/>
    <w:rsid w:val="00EE243C"/>
    <w:rsid w:val="00EE6817"/>
    <w:rsid w:val="00F014A4"/>
    <w:rsid w:val="00F2787F"/>
    <w:rsid w:val="00F36D60"/>
    <w:rsid w:val="00F47BB5"/>
    <w:rsid w:val="00F56DD7"/>
    <w:rsid w:val="00F63462"/>
    <w:rsid w:val="00F8125A"/>
    <w:rsid w:val="00F82E59"/>
    <w:rsid w:val="00F848A8"/>
    <w:rsid w:val="00F85D3D"/>
    <w:rsid w:val="00F94F69"/>
    <w:rsid w:val="00FA1E13"/>
    <w:rsid w:val="00FB0C55"/>
    <w:rsid w:val="00FB7B6D"/>
    <w:rsid w:val="00FB7D11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A3F64"/>
  <w15:docId w15:val="{725475C3-D6FA-417E-839B-2389C826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B4"/>
    <w:rPr>
      <w:rFonts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link w:val="20"/>
    <w:uiPriority w:val="9"/>
    <w:semiHidden/>
    <w:unhideWhenUsed/>
    <w:qFormat/>
    <w:rsid w:val="0007032D"/>
    <w:pPr>
      <w:numPr>
        <w:numId w:val="3"/>
      </w:numPr>
      <w:ind w:leftChars="100" w:left="210" w:rightChars="100" w:right="100"/>
      <w:outlineLvl w:val="1"/>
    </w:pPr>
    <w:rPr>
      <w:rFonts w:asciiTheme="minorHAnsi" w:eastAsiaTheme="minorEastAsia" w:hAnsiTheme="minorHAnsi" w:cstheme="minorBidi"/>
      <w:b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5">
    <w:name w:val="Hyperlink"/>
    <w:unhideWhenUsed/>
    <w:rsid w:val="00382DEC"/>
    <w:rPr>
      <w:color w:val="0000FF"/>
      <w:u w:val="single"/>
    </w:rPr>
  </w:style>
  <w:style w:type="character" w:customStyle="1" w:styleId="apple-style-span">
    <w:name w:val="apple-style-span"/>
    <w:basedOn w:val="a1"/>
    <w:rsid w:val="00382DEC"/>
  </w:style>
  <w:style w:type="paragraph" w:styleId="a0">
    <w:name w:val="List Paragraph"/>
    <w:basedOn w:val="a"/>
    <w:uiPriority w:val="34"/>
    <w:qFormat/>
    <w:rsid w:val="009E75FD"/>
    <w:pPr>
      <w:ind w:leftChars="400" w:left="840"/>
    </w:pPr>
  </w:style>
  <w:style w:type="character" w:styleId="a6">
    <w:name w:val="Unresolved Mention"/>
    <w:basedOn w:val="a1"/>
    <w:uiPriority w:val="99"/>
    <w:semiHidden/>
    <w:unhideWhenUsed/>
    <w:rsid w:val="00AE259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12C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A12CFE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12C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A12CFE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1"/>
    <w:uiPriority w:val="99"/>
    <w:semiHidden/>
    <w:unhideWhenUsed/>
    <w:rsid w:val="006358C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358CB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6358CB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58C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58CB"/>
    <w:rPr>
      <w:rFonts w:ascii="Century" w:eastAsia="ＭＳ 明朝" w:hAnsi="Century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35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6358C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B47E96"/>
    <w:rPr>
      <w:rFonts w:cs="Times New Roman"/>
      <w:szCs w:val="24"/>
    </w:rPr>
  </w:style>
  <w:style w:type="character" w:customStyle="1" w:styleId="20">
    <w:name w:val="見出し 2 (文字)"/>
    <w:basedOn w:val="a1"/>
    <w:link w:val="2"/>
    <w:uiPriority w:val="9"/>
    <w:rsid w:val="0007032D"/>
    <w:rPr>
      <w:b/>
    </w:rPr>
  </w:style>
  <w:style w:type="character" w:styleId="af3">
    <w:name w:val="FollowedHyperlink"/>
    <w:basedOn w:val="a1"/>
    <w:uiPriority w:val="99"/>
    <w:semiHidden/>
    <w:unhideWhenUsed/>
    <w:rsid w:val="008440AD"/>
    <w:rPr>
      <w:color w:val="954F72" w:themeColor="followedHyperlink"/>
      <w:u w:val="single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18" Type="http://schemas.openxmlformats.org/officeDocument/2006/relationships/hyperlink" Target="https://www.newton-consulting.co.jp/casestudy/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yperlink" Target="https://www.newton-consulting.co.j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ewton-consulting.co.jp/solution/erm/sustainability_integration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ewton-consulting.co.jp/solution/erm/sustainability_integration.html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AJoVNbYep5y52/tANfWKwI9SJA==">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satoko.suzuki</dc:creator>
  <cp:lastModifiedBy>nakamura hana</cp:lastModifiedBy>
  <cp:revision>2</cp:revision>
  <cp:lastPrinted>2025-09-05T04:35:00Z</cp:lastPrinted>
  <dcterms:created xsi:type="dcterms:W3CDTF">2025-10-24T11:58:00Z</dcterms:created>
  <dcterms:modified xsi:type="dcterms:W3CDTF">2025-10-24T11:58:00Z</dcterms:modified>
</cp:coreProperties>
</file>